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3CA" w:rsidRDefault="00E573CA" w:rsidP="00CE406F">
      <w:pPr>
        <w:spacing w:line="360" w:lineRule="auto"/>
        <w:jc w:val="center"/>
        <w:rPr>
          <w:rFonts w:asciiTheme="minorBidi" w:hAnsiTheme="minorBidi"/>
          <w:b/>
          <w:bCs/>
          <w:sz w:val="28"/>
          <w:szCs w:val="28"/>
          <w:lang w:val="en-GB"/>
        </w:rPr>
      </w:pPr>
    </w:p>
    <w:p w:rsidR="00E573CA" w:rsidRDefault="00E573CA" w:rsidP="00CE406F">
      <w:pPr>
        <w:spacing w:line="360" w:lineRule="auto"/>
        <w:jc w:val="center"/>
        <w:rPr>
          <w:rFonts w:asciiTheme="minorBidi" w:hAnsiTheme="minorBidi"/>
          <w:b/>
          <w:bCs/>
          <w:sz w:val="28"/>
          <w:szCs w:val="28"/>
          <w:lang w:val="en-GB"/>
        </w:rPr>
      </w:pPr>
    </w:p>
    <w:p w:rsidR="00E573CA" w:rsidRDefault="00CE406F" w:rsidP="00CE406F">
      <w:pPr>
        <w:spacing w:line="360" w:lineRule="auto"/>
        <w:jc w:val="center"/>
        <w:rPr>
          <w:rFonts w:asciiTheme="minorBidi" w:hAnsiTheme="minorBidi"/>
          <w:b/>
          <w:bCs/>
          <w:sz w:val="28"/>
          <w:szCs w:val="28"/>
          <w:lang w:val="en-GB"/>
        </w:rPr>
      </w:pPr>
      <w:r w:rsidRPr="00FF351C">
        <w:rPr>
          <w:rFonts w:asciiTheme="minorBidi" w:hAnsiTheme="minorBidi"/>
          <w:b/>
          <w:bCs/>
          <w:sz w:val="28"/>
          <w:szCs w:val="28"/>
          <w:lang w:val="en-GB"/>
        </w:rPr>
        <w:t>The antioxidant and analgesic effect of red and white ginseng</w:t>
      </w:r>
    </w:p>
    <w:p w:rsidR="00CE406F" w:rsidRDefault="00CE406F" w:rsidP="00CE406F">
      <w:pPr>
        <w:spacing w:line="360" w:lineRule="auto"/>
        <w:jc w:val="center"/>
        <w:rPr>
          <w:rFonts w:asciiTheme="minorBidi" w:hAnsiTheme="minorBidi"/>
          <w:b/>
          <w:bCs/>
          <w:sz w:val="28"/>
          <w:szCs w:val="28"/>
          <w:lang w:val="en-GB"/>
        </w:rPr>
      </w:pPr>
      <w:r w:rsidRPr="00FF351C">
        <w:rPr>
          <w:rFonts w:asciiTheme="minorBidi" w:hAnsiTheme="minorBidi"/>
          <w:b/>
          <w:bCs/>
          <w:sz w:val="28"/>
          <w:szCs w:val="28"/>
          <w:lang w:val="en-GB"/>
        </w:rPr>
        <w:t xml:space="preserve"> on Wistar rats</w:t>
      </w:r>
    </w:p>
    <w:p w:rsidR="0082026F" w:rsidRPr="0082026F" w:rsidRDefault="0082026F" w:rsidP="0082026F">
      <w:pPr>
        <w:tabs>
          <w:tab w:val="left" w:pos="1843"/>
          <w:tab w:val="left" w:pos="3402"/>
        </w:tabs>
        <w:jc w:val="center"/>
        <w:rPr>
          <w:rFonts w:asciiTheme="majorBidi" w:hAnsiTheme="majorBidi" w:cstheme="majorBidi"/>
          <w:b/>
          <w:sz w:val="24"/>
          <w:szCs w:val="24"/>
          <w:lang w:val="en-US"/>
        </w:rPr>
      </w:pPr>
      <w:r w:rsidRPr="0082026F">
        <w:rPr>
          <w:rFonts w:asciiTheme="majorBidi" w:eastAsia="Times New Roman" w:hAnsiTheme="majorBidi" w:cstheme="majorBidi"/>
          <w:b/>
          <w:color w:val="000000"/>
          <w:sz w:val="24"/>
          <w:szCs w:val="24"/>
          <w:lang w:val="en-US"/>
        </w:rPr>
        <w:t>DEMMOUCHE Abbassia*, Bouazza Sofiane,</w:t>
      </w:r>
      <w:r w:rsidRPr="0082026F">
        <w:rPr>
          <w:rFonts w:asciiTheme="majorBidi" w:eastAsia="Times New Roman" w:hAnsiTheme="majorBidi" w:cstheme="majorBidi"/>
          <w:b/>
          <w:color w:val="000000"/>
          <w:sz w:val="24"/>
          <w:szCs w:val="24"/>
          <w:lang w:val="en-US"/>
        </w:rPr>
        <w:t xml:space="preserve"> </w:t>
      </w:r>
      <w:sdt>
        <w:sdtPr>
          <w:rPr>
            <w:rFonts w:asciiTheme="majorBidi" w:hAnsiTheme="majorBidi" w:cstheme="majorBidi"/>
            <w:b/>
            <w:sz w:val="24"/>
            <w:szCs w:val="24"/>
          </w:rPr>
          <w:alias w:val="Nom et Prénom"/>
          <w:tag w:val="Nom et Prénom"/>
          <w:id w:val="671325"/>
          <w:placeholder>
            <w:docPart w:val="2BC1192E361E461BA8C36C4AE7F0FB46"/>
          </w:placeholder>
        </w:sdtPr>
        <w:sdtContent>
          <w:r w:rsidRPr="0082026F">
            <w:rPr>
              <w:rFonts w:asciiTheme="majorBidi" w:hAnsiTheme="majorBidi" w:cstheme="majorBidi"/>
              <w:b/>
              <w:sz w:val="24"/>
              <w:szCs w:val="24"/>
              <w:lang w:val="en-GB" w:eastAsia="fr-FR"/>
            </w:rPr>
            <w:t>HAMRI Dounia Douaa</w:t>
          </w:r>
        </w:sdtContent>
      </w:sdt>
      <w:r w:rsidRPr="0082026F">
        <w:rPr>
          <w:rFonts w:asciiTheme="majorBidi" w:hAnsiTheme="majorBidi" w:cstheme="majorBidi"/>
          <w:b/>
          <w:sz w:val="24"/>
          <w:szCs w:val="24"/>
          <w:lang w:val="en-GB"/>
        </w:rPr>
        <w:t> ; Labadi Khaled</w:t>
      </w:r>
      <w:r w:rsidR="00F40F21">
        <w:rPr>
          <w:rFonts w:asciiTheme="majorBidi" w:hAnsiTheme="majorBidi" w:cstheme="majorBidi"/>
          <w:b/>
          <w:sz w:val="24"/>
          <w:szCs w:val="24"/>
          <w:lang w:val="en-GB"/>
        </w:rPr>
        <w:t>; Mekiou Zohra</w:t>
      </w:r>
    </w:p>
    <w:p w:rsidR="0082026F" w:rsidRDefault="0082026F" w:rsidP="0082026F">
      <w:pPr>
        <w:spacing w:line="240" w:lineRule="auto"/>
        <w:ind w:left="-270"/>
        <w:jc w:val="center"/>
        <w:rPr>
          <w:rFonts w:asciiTheme="majorBidi" w:eastAsia="Times New Roman" w:hAnsiTheme="majorBidi" w:cstheme="majorBidi"/>
          <w:b/>
          <w:color w:val="000000"/>
          <w:sz w:val="24"/>
          <w:szCs w:val="24"/>
          <w:lang w:val="en-US"/>
        </w:rPr>
      </w:pPr>
    </w:p>
    <w:p w:rsidR="0082026F" w:rsidRPr="00F8039D" w:rsidRDefault="0082026F" w:rsidP="0082026F">
      <w:pPr>
        <w:pStyle w:val="Paragraphedeliste"/>
        <w:numPr>
          <w:ilvl w:val="0"/>
          <w:numId w:val="10"/>
        </w:numPr>
        <w:spacing w:after="200" w:line="240" w:lineRule="auto"/>
        <w:jc w:val="center"/>
        <w:rPr>
          <w:rFonts w:asciiTheme="majorBidi" w:eastAsia="Times New Roman" w:hAnsiTheme="majorBidi" w:cstheme="majorBidi"/>
          <w:b/>
          <w:color w:val="000000"/>
          <w:sz w:val="24"/>
          <w:szCs w:val="24"/>
          <w:lang w:val="en-US"/>
        </w:rPr>
      </w:pPr>
      <w:r>
        <w:rPr>
          <w:rFonts w:asciiTheme="majorBidi" w:eastAsia="Times New Roman" w:hAnsiTheme="majorBidi" w:cstheme="majorBidi"/>
          <w:b/>
          <w:color w:val="000000"/>
          <w:sz w:val="24"/>
          <w:szCs w:val="24"/>
          <w:lang w:val="en-US"/>
        </w:rPr>
        <w:t>DEMMOUCHE ABBASSIA Professor in biology</w:t>
      </w:r>
    </w:p>
    <w:p w:rsidR="0082026F" w:rsidRPr="0082026F" w:rsidRDefault="0082026F" w:rsidP="0082026F">
      <w:pPr>
        <w:spacing w:line="240" w:lineRule="auto"/>
        <w:jc w:val="center"/>
        <w:rPr>
          <w:rFonts w:asciiTheme="majorBidi" w:eastAsia="Times New Roman" w:hAnsiTheme="majorBidi" w:cstheme="majorBidi"/>
          <w:sz w:val="24"/>
          <w:szCs w:val="24"/>
          <w:lang w:val="en-US"/>
        </w:rPr>
      </w:pPr>
      <w:r w:rsidRPr="0082026F">
        <w:rPr>
          <w:rFonts w:asciiTheme="majorBidi" w:eastAsia="Times New Roman" w:hAnsiTheme="majorBidi" w:cstheme="majorBidi"/>
          <w:sz w:val="24"/>
          <w:szCs w:val="24"/>
          <w:lang w:val="en-US"/>
        </w:rPr>
        <w:t xml:space="preserve">Biotoxicology  laboratory. Department of Biology, Faculty of Natural Sciences and life-Djillali  Liabes University of Sidi Bel Abbes, Algeria </w:t>
      </w:r>
    </w:p>
    <w:p w:rsidR="00E573CA" w:rsidRPr="0082026F" w:rsidRDefault="0082026F" w:rsidP="0082026F">
      <w:pPr>
        <w:spacing w:line="240" w:lineRule="auto"/>
        <w:jc w:val="center"/>
        <w:rPr>
          <w:rFonts w:asciiTheme="majorBidi" w:eastAsia="Calibri" w:hAnsiTheme="majorBidi" w:cstheme="majorBidi"/>
          <w:sz w:val="24"/>
          <w:szCs w:val="24"/>
          <w:lang w:val="en-US"/>
        </w:rPr>
      </w:pPr>
      <w:r w:rsidRPr="0082026F">
        <w:rPr>
          <w:rFonts w:asciiTheme="majorBidi" w:eastAsia="Calibri" w:hAnsiTheme="majorBidi" w:cstheme="majorBidi"/>
          <w:sz w:val="24"/>
          <w:szCs w:val="24"/>
          <w:lang w:val="en-US"/>
        </w:rPr>
        <w:t>[*For Correspondence: E-mail:demmoucheabbassia@yahoo.fr</w:t>
      </w:r>
      <w:r w:rsidRPr="0082026F">
        <w:rPr>
          <w:rFonts w:asciiTheme="majorBidi" w:eastAsia="Times New Roman" w:hAnsiTheme="majorBidi" w:cstheme="majorBidi"/>
          <w:sz w:val="24"/>
          <w:szCs w:val="24"/>
          <w:lang w:val="it-IT"/>
        </w:rPr>
        <w:t>]</w:t>
      </w:r>
    </w:p>
    <w:p w:rsidR="00CE406F" w:rsidRDefault="00CE406F" w:rsidP="00CE406F">
      <w:pPr>
        <w:spacing w:line="360" w:lineRule="auto"/>
        <w:jc w:val="both"/>
        <w:rPr>
          <w:rFonts w:asciiTheme="minorBidi" w:hAnsiTheme="minorBidi"/>
          <w:b/>
          <w:bCs/>
          <w:sz w:val="28"/>
          <w:szCs w:val="28"/>
          <w:lang w:val="en-GB"/>
        </w:rPr>
      </w:pPr>
      <w:r>
        <w:rPr>
          <w:rFonts w:asciiTheme="minorBidi" w:hAnsiTheme="minorBidi"/>
          <w:b/>
          <w:bCs/>
          <w:sz w:val="28"/>
          <w:szCs w:val="28"/>
          <w:lang w:val="en-GB"/>
        </w:rPr>
        <w:t>abstract</w:t>
      </w:r>
    </w:p>
    <w:p w:rsidR="00CE406F" w:rsidRPr="00CE5874" w:rsidRDefault="00451499" w:rsidP="00451499">
      <w:pPr>
        <w:ind w:left="708" w:right="680" w:firstLine="28"/>
        <w:jc w:val="both"/>
        <w:rPr>
          <w:rFonts w:asciiTheme="majorBidi" w:hAnsiTheme="majorBidi" w:cstheme="majorBidi"/>
          <w:lang w:val="en-GB"/>
        </w:rPr>
      </w:pPr>
      <w:r>
        <w:rPr>
          <w:rFonts w:asciiTheme="majorBidi" w:hAnsiTheme="majorBidi" w:cstheme="majorBidi"/>
          <w:b/>
          <w:bCs/>
          <w:lang w:val="en-GB"/>
        </w:rPr>
        <w:t xml:space="preserve">              </w:t>
      </w:r>
      <w:r w:rsidR="00CE406F" w:rsidRPr="00CE5874">
        <w:rPr>
          <w:rFonts w:asciiTheme="majorBidi" w:hAnsiTheme="majorBidi" w:cstheme="majorBidi"/>
          <w:lang w:val="en-GB"/>
        </w:rPr>
        <w:t>Ginseng is a perennial herbaceous plant from the Araliaceae family which belongs to the genus Panax, especially cultivated in Korea, ginseng is recognized for its general tonic effect, useful for invigorating the body of tired or weakened people, in particular due to its anti-inflammatory and antioxidant effects.</w:t>
      </w:r>
    </w:p>
    <w:p w:rsidR="00451499" w:rsidRDefault="00CE406F" w:rsidP="00451499">
      <w:pPr>
        <w:ind w:left="680" w:right="680"/>
        <w:jc w:val="both"/>
        <w:rPr>
          <w:rFonts w:asciiTheme="majorBidi" w:hAnsiTheme="majorBidi" w:cstheme="majorBidi"/>
          <w:lang w:val="en-GB"/>
        </w:rPr>
      </w:pPr>
      <w:r w:rsidRPr="00CE5874">
        <w:rPr>
          <w:rFonts w:asciiTheme="majorBidi" w:hAnsiTheme="majorBidi" w:cstheme="majorBidi"/>
          <w:lang w:val="en-GB"/>
        </w:rPr>
        <w:t>The present work is conducted to assess the importance of panax ginseng by evaluating its use in a targeted population, then determining the pharmacological and therapeutic properties of panax ginseng to study the antioxidant activity of ginseng and its impact on analgesic activity in male Wistar rats.</w:t>
      </w:r>
    </w:p>
    <w:p w:rsidR="00451499" w:rsidRDefault="00CE406F" w:rsidP="00451499">
      <w:pPr>
        <w:ind w:left="680" w:right="680"/>
        <w:jc w:val="both"/>
        <w:rPr>
          <w:rFonts w:asciiTheme="majorBidi" w:hAnsiTheme="majorBidi" w:cstheme="majorBidi"/>
          <w:lang w:val="en-GB"/>
        </w:rPr>
      </w:pPr>
      <w:r w:rsidRPr="00CE5874">
        <w:rPr>
          <w:rFonts w:asciiTheme="majorBidi" w:hAnsiTheme="majorBidi" w:cstheme="majorBidi"/>
          <w:lang w:val="en-GB"/>
        </w:rPr>
        <w:t>First, information on the</w:t>
      </w:r>
      <w:bookmarkStart w:id="0" w:name="_GoBack"/>
      <w:bookmarkEnd w:id="0"/>
      <w:r w:rsidRPr="00CE5874">
        <w:rPr>
          <w:rFonts w:asciiTheme="majorBidi" w:hAnsiTheme="majorBidi" w:cstheme="majorBidi"/>
          <w:lang w:val="en-GB"/>
        </w:rPr>
        <w:t xml:space="preserve"> nutritional, therapeutic and cosmetic uses of ginseng was collected from 66 questionnaires. The second step is to evaluate the biochemical potential of the hydro-ethanolic extract of red ginseng and the aqueous extract of white ginseng in vitro and their impact on the antioxidant activity by the DPPH method, then the evaluation of the effect of two variations of panax ginseng on peripheral analgesic activity in male Wistar rats that were injected with acetic acid to induce abdominal pain.</w:t>
      </w:r>
    </w:p>
    <w:p w:rsidR="00CE406F" w:rsidRPr="00CE5874" w:rsidRDefault="00451499" w:rsidP="00451499">
      <w:pPr>
        <w:ind w:left="680" w:right="680"/>
        <w:jc w:val="both"/>
        <w:rPr>
          <w:rFonts w:asciiTheme="majorBidi" w:hAnsiTheme="majorBidi" w:cstheme="majorBidi"/>
          <w:lang w:val="en-GB"/>
        </w:rPr>
      </w:pPr>
      <w:r>
        <w:rPr>
          <w:rFonts w:asciiTheme="majorBidi" w:hAnsiTheme="majorBidi" w:cstheme="majorBidi"/>
          <w:lang w:val="en-GB"/>
        </w:rPr>
        <w:t xml:space="preserve">                </w:t>
      </w:r>
      <w:r w:rsidR="00CE406F" w:rsidRPr="00CE5874">
        <w:rPr>
          <w:rFonts w:asciiTheme="majorBidi" w:hAnsiTheme="majorBidi" w:cstheme="majorBidi"/>
          <w:lang w:val="en-GB"/>
        </w:rPr>
        <w:t xml:space="preserve">The investigation proved on the one hand, that </w:t>
      </w:r>
      <w:r w:rsidR="00CE406F">
        <w:rPr>
          <w:rFonts w:asciiTheme="majorBidi" w:hAnsiTheme="majorBidi" w:cstheme="majorBidi"/>
          <w:lang w:val="en-GB"/>
        </w:rPr>
        <w:t>ginseng</w:t>
      </w:r>
      <w:r w:rsidR="00CE406F" w:rsidRPr="00CE5874">
        <w:rPr>
          <w:rFonts w:asciiTheme="majorBidi" w:hAnsiTheme="majorBidi" w:cstheme="majorBidi"/>
          <w:lang w:val="en-GB"/>
        </w:rPr>
        <w:t xml:space="preserve"> is used as a treatment against: Depression, cardiovascular diseases and Diabetes.</w:t>
      </w:r>
    </w:p>
    <w:p w:rsidR="00CE406F" w:rsidRPr="00CE5874" w:rsidRDefault="00803E7C" w:rsidP="00CE406F">
      <w:pPr>
        <w:ind w:left="680" w:right="680"/>
        <w:jc w:val="both"/>
        <w:rPr>
          <w:rFonts w:asciiTheme="majorBidi" w:hAnsiTheme="majorBidi" w:cstheme="majorBidi"/>
          <w:lang w:val="en-GB"/>
        </w:rPr>
      </w:pPr>
      <w:r>
        <w:rPr>
          <w:rFonts w:asciiTheme="majorBidi" w:hAnsiTheme="majorBidi" w:cstheme="majorBidi"/>
          <w:lang w:val="en-GB"/>
        </w:rPr>
        <w:t>T</w:t>
      </w:r>
      <w:r w:rsidR="00CE406F" w:rsidRPr="00CE5874">
        <w:rPr>
          <w:rFonts w:asciiTheme="majorBidi" w:hAnsiTheme="majorBidi" w:cstheme="majorBidi"/>
          <w:lang w:val="en-GB"/>
        </w:rPr>
        <w:t>he antioxidant activity of the extract, by the DPPH method, showed that the red extract tested has a very high antioxidant potential, with an IC50 of 0.75 mg/ml. Comparison of white extract (IC50 of 6.03 mg/ml). The extract revealed a remarkable peripheral analgesic effect, Red Ginseng studied reduced the number of writhing from (46.7±10.0) to (12.3±5.0) with an inhibition rate of 73.66%. In addition, about the White Ginseng extract which has an inhibition rate of 66.8% with number of contortions (15.5±6.6).</w:t>
      </w:r>
    </w:p>
    <w:p w:rsidR="00CE406F" w:rsidRDefault="00451499" w:rsidP="00CE406F">
      <w:pPr>
        <w:ind w:left="680" w:right="680"/>
        <w:jc w:val="both"/>
        <w:rPr>
          <w:rFonts w:asciiTheme="majorBidi" w:hAnsiTheme="majorBidi" w:cstheme="majorBidi"/>
          <w:lang w:val="en-GB"/>
        </w:rPr>
      </w:pPr>
      <w:r>
        <w:rPr>
          <w:rFonts w:asciiTheme="majorBidi" w:hAnsiTheme="majorBidi" w:cstheme="majorBidi"/>
          <w:b/>
          <w:bCs/>
          <w:lang w:val="en-GB"/>
        </w:rPr>
        <w:t xml:space="preserve">             </w:t>
      </w:r>
      <w:r w:rsidR="00CE406F" w:rsidRPr="00CE5874">
        <w:rPr>
          <w:rFonts w:asciiTheme="majorBidi" w:hAnsiTheme="majorBidi" w:cstheme="majorBidi"/>
          <w:lang w:val="en-GB"/>
        </w:rPr>
        <w:t xml:space="preserve">To conclude, we can say that there is a significant difference between red and white panax ginseng, moreover it is mainly used for therapeutic purposes. Although the benefits of this product are well known, it is not yet widely used. The biochemical potential, without toxic effect, shows a good content in phenolic compounds due to the variability of these botanical origins which explains its considerable antioxidant capacity. </w:t>
      </w:r>
    </w:p>
    <w:p w:rsidR="00CE406F" w:rsidRDefault="00CE406F" w:rsidP="00CE406F">
      <w:pPr>
        <w:ind w:left="680" w:right="680"/>
        <w:jc w:val="both"/>
        <w:rPr>
          <w:rFonts w:asciiTheme="majorBidi" w:hAnsiTheme="majorBidi" w:cstheme="majorBidi"/>
          <w:lang w:val="en-GB"/>
        </w:rPr>
      </w:pPr>
    </w:p>
    <w:p w:rsidR="00CE406F" w:rsidRDefault="00CE406F" w:rsidP="00CE406F">
      <w:pPr>
        <w:ind w:left="680" w:right="680"/>
        <w:jc w:val="both"/>
        <w:rPr>
          <w:rFonts w:asciiTheme="majorBidi" w:hAnsiTheme="majorBidi" w:cstheme="majorBidi"/>
          <w:lang w:val="en-GB"/>
        </w:rPr>
      </w:pPr>
      <w:r w:rsidRPr="00767937">
        <w:rPr>
          <w:rFonts w:asciiTheme="majorBidi" w:hAnsiTheme="majorBidi" w:cstheme="majorBidi"/>
          <w:b/>
          <w:bCs/>
          <w:lang w:val="en-GB"/>
        </w:rPr>
        <w:t>Keywords:</w:t>
      </w:r>
      <w:r w:rsidRPr="00767937">
        <w:rPr>
          <w:rFonts w:asciiTheme="majorBidi" w:hAnsiTheme="majorBidi" w:cstheme="majorBidi"/>
          <w:lang w:val="en-GB"/>
        </w:rPr>
        <w:t xml:space="preserve"> white ginseng_ red ginseng_ analgesic activity_ antioxidant activity_</w:t>
      </w:r>
      <w:r>
        <w:rPr>
          <w:rFonts w:asciiTheme="majorBidi" w:hAnsiTheme="majorBidi" w:cstheme="majorBidi"/>
          <w:lang w:val="en-GB"/>
        </w:rPr>
        <w:t xml:space="preserve"> </w:t>
      </w:r>
      <w:r w:rsidRPr="00767937">
        <w:rPr>
          <w:rFonts w:asciiTheme="majorBidi" w:hAnsiTheme="majorBidi" w:cstheme="majorBidi"/>
          <w:lang w:val="en-GB"/>
        </w:rPr>
        <w:t>pharmacological_</w:t>
      </w:r>
      <w:r>
        <w:rPr>
          <w:rFonts w:asciiTheme="majorBidi" w:hAnsiTheme="majorBidi" w:cstheme="majorBidi"/>
          <w:lang w:val="en-GB"/>
        </w:rPr>
        <w:t xml:space="preserve"> </w:t>
      </w:r>
      <w:r w:rsidRPr="00767937">
        <w:rPr>
          <w:rFonts w:asciiTheme="majorBidi" w:hAnsiTheme="majorBidi" w:cstheme="majorBidi"/>
          <w:lang w:val="en-GB"/>
        </w:rPr>
        <w:t>therapeutic</w:t>
      </w:r>
      <w:r>
        <w:rPr>
          <w:rFonts w:asciiTheme="majorBidi" w:hAnsiTheme="majorBidi" w:cstheme="majorBidi"/>
          <w:lang w:val="en-GB"/>
        </w:rPr>
        <w:t>.</w:t>
      </w:r>
    </w:p>
    <w:p w:rsidR="00CE406F" w:rsidRDefault="00CE406F" w:rsidP="00CE406F">
      <w:pPr>
        <w:ind w:left="680" w:right="680"/>
        <w:jc w:val="both"/>
        <w:rPr>
          <w:rFonts w:asciiTheme="majorBidi" w:hAnsiTheme="majorBidi" w:cstheme="majorBidi"/>
          <w:lang w:val="en-GB"/>
        </w:rPr>
      </w:pPr>
    </w:p>
    <w:p w:rsidR="00CE406F" w:rsidRPr="00130CDF" w:rsidRDefault="00CE406F" w:rsidP="00CE406F">
      <w:pPr>
        <w:rPr>
          <w:rFonts w:asciiTheme="majorBidi" w:hAnsiTheme="majorBidi" w:cstheme="majorBidi"/>
          <w:b/>
          <w:bCs/>
          <w:sz w:val="24"/>
          <w:szCs w:val="24"/>
        </w:rPr>
      </w:pPr>
      <w:r w:rsidRPr="00130CDF">
        <w:rPr>
          <w:rFonts w:asciiTheme="majorBidi" w:hAnsiTheme="majorBidi" w:cstheme="majorBidi"/>
          <w:b/>
          <w:bCs/>
          <w:sz w:val="24"/>
          <w:szCs w:val="24"/>
        </w:rPr>
        <w:t>INTRODUCTION</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lastRenderedPageBreak/>
        <w:t>Chronic pain is challenging to treat due to the limited efficacy and adverse side effects of therapies. Commonly used analgesics are classified as opioids (cocaine, morphine) and nonsteroidal anti-inflammatory drugs (NSAIDs), which have a good clinical therapeutic effect.</w:t>
      </w:r>
    </w:p>
    <w:p w:rsidR="00CE406F" w:rsidRPr="00130CDF" w:rsidRDefault="00CE406F" w:rsidP="00CE406F">
      <w:pPr>
        <w:spacing w:line="360" w:lineRule="auto"/>
        <w:ind w:firstLine="708"/>
        <w:jc w:val="both"/>
        <w:rPr>
          <w:rFonts w:asciiTheme="majorBidi" w:hAnsiTheme="majorBidi" w:cstheme="majorBidi"/>
          <w:sz w:val="24"/>
          <w:szCs w:val="24"/>
          <w:lang w:val="en-GB"/>
        </w:rPr>
      </w:pPr>
      <w:r w:rsidRPr="00130CDF">
        <w:rPr>
          <w:rFonts w:asciiTheme="majorBidi" w:hAnsiTheme="majorBidi" w:cstheme="majorBidi"/>
          <w:sz w:val="24"/>
          <w:szCs w:val="24"/>
          <w:lang w:val="en-GB"/>
        </w:rPr>
        <w:t>Pain is one of the most important health problems due to its prevalence and the disability it can induce. Chronic pain can be the consequence of inflammatory diseases or tissue damage such as nerve damage in the case of neuropathic pain. In Europe, chronic pain affects around 17 to 45% of the population (Elliott et al., 2002). In developing countries, medicinal plants are widely used by populations and are a source of new active components, especially treating pain and inflammatory processes (</w:t>
      </w:r>
      <w:r w:rsidRPr="00803E7C">
        <w:rPr>
          <w:rFonts w:asciiTheme="majorBidi" w:hAnsiTheme="majorBidi" w:cstheme="majorBidi"/>
          <w:b/>
          <w:bCs/>
          <w:i/>
          <w:iCs/>
          <w:sz w:val="24"/>
          <w:szCs w:val="24"/>
          <w:lang w:val="en-GB"/>
        </w:rPr>
        <w:t>Calixto et al., 2004; Télesphore et al., 2010)</w:t>
      </w:r>
      <w:r w:rsidRPr="00130CDF">
        <w:rPr>
          <w:rFonts w:asciiTheme="majorBidi" w:hAnsiTheme="majorBidi" w:cstheme="majorBidi"/>
          <w:sz w:val="24"/>
          <w:szCs w:val="24"/>
          <w:lang w:val="en-GB"/>
        </w:rPr>
        <w:t>. In addition, chronic pain is often resistant to existing therapy, a great need for research into new drugs is felt.</w:t>
      </w:r>
    </w:p>
    <w:p w:rsidR="00CE406F" w:rsidRPr="00130CDF" w:rsidRDefault="00CE406F" w:rsidP="00CE406F">
      <w:pPr>
        <w:spacing w:line="360" w:lineRule="auto"/>
        <w:ind w:firstLine="708"/>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Ginseng (Panax ginseng C.A. Meyer) is an herbal plant within the Araliaceae family and belongs to the Panax Genus </w:t>
      </w:r>
      <w:r w:rsidRPr="00803E7C">
        <w:rPr>
          <w:rFonts w:asciiTheme="majorBidi" w:hAnsiTheme="majorBidi" w:cstheme="majorBidi"/>
          <w:b/>
          <w:bCs/>
          <w:i/>
          <w:iCs/>
          <w:sz w:val="24"/>
          <w:szCs w:val="24"/>
          <w:lang w:val="en-GB"/>
        </w:rPr>
        <w:t>(Guo et al, 2021).</w:t>
      </w:r>
      <w:r w:rsidRPr="00130CDF">
        <w:rPr>
          <w:rFonts w:asciiTheme="majorBidi" w:hAnsiTheme="majorBidi" w:cstheme="majorBidi"/>
          <w:sz w:val="24"/>
          <w:szCs w:val="24"/>
          <w:lang w:val="en-GB"/>
        </w:rPr>
        <w:t xml:space="preserve"> The roots of ginseng contain ginsenoside, a class of steroid glycoside that is responsible for its pharmacological activity. Ginseng has many bio properties such as antioxidant (Chen &amp; Huang, 2019), anti-inflammatory (Im, 2020), analgesia antipruritic </w:t>
      </w:r>
      <w:r w:rsidRPr="00803E7C">
        <w:rPr>
          <w:rFonts w:asciiTheme="majorBidi" w:hAnsiTheme="majorBidi" w:cstheme="majorBidi"/>
          <w:b/>
          <w:bCs/>
          <w:i/>
          <w:iCs/>
          <w:sz w:val="24"/>
          <w:szCs w:val="24"/>
          <w:lang w:val="en-GB"/>
        </w:rPr>
        <w:t>(Lee et al., 2018; Luo et al., 2018),</w:t>
      </w:r>
      <w:r w:rsidRPr="00130CDF">
        <w:rPr>
          <w:rFonts w:asciiTheme="majorBidi" w:hAnsiTheme="majorBidi" w:cstheme="majorBidi"/>
          <w:sz w:val="24"/>
          <w:szCs w:val="24"/>
          <w:lang w:val="en-GB"/>
        </w:rPr>
        <w:t xml:space="preserve"> and anticancer activities </w:t>
      </w:r>
      <w:r w:rsidRPr="00803E7C">
        <w:rPr>
          <w:rFonts w:asciiTheme="majorBidi" w:hAnsiTheme="majorBidi" w:cstheme="majorBidi"/>
          <w:b/>
          <w:bCs/>
          <w:i/>
          <w:iCs/>
          <w:sz w:val="24"/>
          <w:szCs w:val="24"/>
          <w:lang w:val="en-GB"/>
        </w:rPr>
        <w:t>(Zhang J. et al, 2019).</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In this work, we provide an ethnobotanical study of ginseng and its active constituents and its major therapeutic applications for the analgesia effect (abdominal pain) and the antioxidant effect. We discuss the pharmacological mechanisms of action of ginseng and ginsenoside’s analgesic effects on abdominal pain.</w:t>
      </w:r>
    </w:p>
    <w:p w:rsidR="00CE406F" w:rsidRPr="00130CDF" w:rsidRDefault="00CE406F" w:rsidP="00CE406F">
      <w:pPr>
        <w:rPr>
          <w:b/>
          <w:bCs/>
          <w:i/>
          <w:iCs/>
          <w:lang w:val="en-GB"/>
        </w:rPr>
      </w:pPr>
      <w:r w:rsidRPr="00130CDF">
        <w:rPr>
          <w:b/>
          <w:bCs/>
          <w:i/>
          <w:iCs/>
          <w:lang w:val="en-GB"/>
        </w:rPr>
        <w:t>Methods:</w:t>
      </w:r>
    </w:p>
    <w:p w:rsidR="00CE406F" w:rsidRPr="006B0FD8" w:rsidRDefault="00CE406F" w:rsidP="00CE406F">
      <w:pPr>
        <w:spacing w:line="360" w:lineRule="auto"/>
        <w:ind w:firstLine="708"/>
        <w:jc w:val="both"/>
        <w:rPr>
          <w:rFonts w:asciiTheme="majorBidi" w:hAnsiTheme="majorBidi" w:cstheme="majorBidi"/>
          <w:sz w:val="24"/>
          <w:szCs w:val="24"/>
          <w:lang w:val="en-GB"/>
        </w:rPr>
      </w:pPr>
      <w:r w:rsidRPr="006B0FD8">
        <w:rPr>
          <w:rFonts w:asciiTheme="majorBidi" w:hAnsiTheme="majorBidi" w:cstheme="majorBidi"/>
          <w:sz w:val="24"/>
          <w:szCs w:val="24"/>
          <w:lang w:val="en-GB"/>
        </w:rPr>
        <w:t>At the beginning a survey on the use of ginseng by interview, then the ginseng obtained from a local collector is identified, the latter has undergone a hydroalcoholic extraction, then a rotary evaporation is elaborated. Pharmacognostic and therapeutic properties are determined. In the end, an experimental study is carried out to study the analg</w:t>
      </w:r>
      <w:r w:rsidRPr="006B0FD8">
        <w:rPr>
          <w:rFonts w:asciiTheme="majorBidi" w:hAnsiTheme="majorBidi" w:cstheme="majorBidi"/>
          <w:sz w:val="24"/>
          <w:szCs w:val="24"/>
          <w:lang w:val="en-GB" w:bidi="ar-DZ"/>
        </w:rPr>
        <w:t>esic</w:t>
      </w:r>
      <w:r w:rsidRPr="006B0FD8">
        <w:rPr>
          <w:rFonts w:asciiTheme="majorBidi" w:hAnsiTheme="majorBidi" w:cstheme="majorBidi"/>
          <w:sz w:val="24"/>
          <w:szCs w:val="24"/>
          <w:lang w:val="en-GB"/>
        </w:rPr>
        <w:t xml:space="preserve"> effect of panax ginseng in Wistar rates.</w:t>
      </w:r>
    </w:p>
    <w:p w:rsidR="00CE406F" w:rsidRPr="00130CDF" w:rsidRDefault="00CE406F" w:rsidP="00CE406F">
      <w:pPr>
        <w:spacing w:line="360" w:lineRule="auto"/>
        <w:jc w:val="both"/>
        <w:rPr>
          <w:rFonts w:asciiTheme="majorBidi" w:hAnsiTheme="majorBidi" w:cstheme="majorBidi"/>
          <w:sz w:val="24"/>
          <w:szCs w:val="24"/>
          <w:lang w:val="en-GB"/>
        </w:rPr>
      </w:pPr>
      <w:r w:rsidRPr="006B0FD8">
        <w:rPr>
          <w:rFonts w:asciiTheme="majorBidi" w:hAnsiTheme="majorBidi" w:cstheme="majorBidi"/>
          <w:sz w:val="24"/>
          <w:szCs w:val="24"/>
          <w:lang w:val="en-GB"/>
        </w:rPr>
        <w:t xml:space="preserve">The survey is carried out among scientists, traditional therapists, herbalists and old connoisseurs of the Wilaya of Sidi Bel Abbes. To this end, a survey form is established beforehand, modified </w:t>
      </w:r>
      <w:r w:rsidRPr="00130CDF">
        <w:rPr>
          <w:rFonts w:asciiTheme="majorBidi" w:hAnsiTheme="majorBidi" w:cstheme="majorBidi"/>
          <w:sz w:val="24"/>
          <w:szCs w:val="24"/>
          <w:lang w:val="en-GB"/>
        </w:rPr>
        <w:t>by the method described by (Martin, 1995) and carefully completed by interviewing each targeted participant.</w:t>
      </w:r>
    </w:p>
    <w:p w:rsidR="00CE406F" w:rsidRPr="00130CDF" w:rsidRDefault="00CE406F" w:rsidP="00CE406F">
      <w:pPr>
        <w:spacing w:line="360" w:lineRule="auto"/>
        <w:rPr>
          <w:rFonts w:asciiTheme="majorBidi" w:hAnsiTheme="majorBidi" w:cstheme="majorBidi"/>
          <w:sz w:val="24"/>
          <w:szCs w:val="24"/>
          <w:lang w:val="en-GB"/>
        </w:rPr>
      </w:pPr>
      <w:r w:rsidRPr="00130CDF">
        <w:rPr>
          <w:rFonts w:asciiTheme="majorBidi" w:hAnsiTheme="majorBidi" w:cstheme="majorBidi"/>
          <w:sz w:val="24"/>
          <w:szCs w:val="24"/>
          <w:lang w:val="en-GB"/>
        </w:rPr>
        <w:t>It lists all the information useful to our investigation, in particular the mentions relating to the use, the instructions for use, the method of preparation as well as the method of administration of the remedy.</w:t>
      </w:r>
    </w:p>
    <w:p w:rsidR="00CE406F" w:rsidRPr="00130CDF" w:rsidRDefault="00CE406F" w:rsidP="00CE406F">
      <w:pPr>
        <w:spacing w:line="360" w:lineRule="auto"/>
        <w:ind w:firstLine="708"/>
        <w:jc w:val="both"/>
        <w:rPr>
          <w:rFonts w:asciiTheme="majorBidi" w:hAnsiTheme="majorBidi" w:cstheme="majorBidi"/>
          <w:sz w:val="24"/>
          <w:szCs w:val="24"/>
          <w:lang w:val="en-GB"/>
        </w:rPr>
      </w:pPr>
      <w:r w:rsidRPr="00130CDF">
        <w:rPr>
          <w:rFonts w:asciiTheme="majorBidi" w:hAnsiTheme="majorBidi" w:cstheme="majorBidi"/>
          <w:sz w:val="24"/>
          <w:szCs w:val="24"/>
          <w:lang w:val="en-GB"/>
        </w:rPr>
        <w:t>The ginseng sample is obtained from an expert herbalist in Sidi Bel Abbes North-West of Algeria in January 2022. A maceration is carried out using 20g of root ‘s dried powder of red panax ginseng and every 10g homogenized in the mixture (ethanol/distilled water) at 80% for 72 h, at room temperature, with replacement of the solvent every 24 h. The extract is filtered with Whatman No. 1 paper, then evaporated separately to remove the solvent in a rotary evaporator at 40°C.</w:t>
      </w:r>
    </w:p>
    <w:p w:rsidR="00CE406F" w:rsidRPr="00130CDF" w:rsidRDefault="00CE406F" w:rsidP="00CE406F">
      <w:pPr>
        <w:spacing w:line="360" w:lineRule="auto"/>
        <w:ind w:firstLine="708"/>
        <w:jc w:val="both"/>
        <w:rPr>
          <w:rFonts w:asciiTheme="majorBidi" w:hAnsiTheme="majorBidi" w:cstheme="majorBidi"/>
          <w:sz w:val="24"/>
          <w:szCs w:val="24"/>
          <w:lang w:val="en-GB"/>
        </w:rPr>
      </w:pPr>
      <w:r w:rsidRPr="00130CDF">
        <w:rPr>
          <w:rFonts w:asciiTheme="majorBidi" w:hAnsiTheme="majorBidi" w:cstheme="majorBidi"/>
          <w:sz w:val="24"/>
          <w:szCs w:val="24"/>
          <w:lang w:val="en-GB"/>
        </w:rPr>
        <w:lastRenderedPageBreak/>
        <w:t>The ginseng sample is obtained from an expert herbalist in Sidi Bel Abbes North-West of Algeria in January 2022. A Decoction is carried out using 15 g of root ‘s dried of white panax ginseng and homogenized in distilled water (450 ml) for 15min, in 100 Celsius. The extract is filtered with Whatman No. 1 paper, then evaporated separately to remove the solvent in an oven at 38°C.</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During this study, the peripheral analgesic activity of the extracts obtained (red ginseng extract &amp; white ginseng extract) was highlighted, the biological material chosen for this experiment are Wistar rats.</w:t>
      </w:r>
    </w:p>
    <w:p w:rsidR="00CE406F" w:rsidRPr="00130CDF" w:rsidRDefault="00CE406F" w:rsidP="00CE406F">
      <w:pPr>
        <w:spacing w:line="360" w:lineRule="auto"/>
        <w:jc w:val="both"/>
        <w:rPr>
          <w:rFonts w:asciiTheme="majorBidi" w:hAnsiTheme="majorBidi" w:cstheme="majorBidi"/>
          <w:b/>
          <w:bCs/>
          <w:sz w:val="24"/>
          <w:szCs w:val="24"/>
          <w:u w:val="single"/>
          <w:lang w:val="en-GB"/>
        </w:rPr>
      </w:pPr>
      <w:r w:rsidRPr="00130CDF">
        <w:rPr>
          <w:rFonts w:asciiTheme="majorBidi" w:hAnsiTheme="majorBidi" w:cstheme="majorBidi"/>
          <w:b/>
          <w:bCs/>
          <w:sz w:val="24"/>
          <w:szCs w:val="24"/>
          <w:u w:val="single"/>
          <w:lang w:val="en-GB"/>
        </w:rPr>
        <w:t>Koster's test (abdominal constriction)</w:t>
      </w:r>
    </w:p>
    <w:p w:rsidR="00CE406F" w:rsidRPr="00130CDF" w:rsidRDefault="00CE406F" w:rsidP="00CE406F">
      <w:pPr>
        <w:spacing w:line="360" w:lineRule="auto"/>
        <w:jc w:val="both"/>
        <w:rPr>
          <w:rFonts w:asciiTheme="majorBidi" w:hAnsiTheme="majorBidi" w:cstheme="majorBidi"/>
          <w:b/>
          <w:bCs/>
          <w:sz w:val="24"/>
          <w:szCs w:val="24"/>
          <w:u w:val="single"/>
          <w:lang w:val="en-GB"/>
        </w:rPr>
      </w:pPr>
      <w:r w:rsidRPr="00130CDF">
        <w:rPr>
          <w:rFonts w:asciiTheme="majorBidi" w:hAnsiTheme="majorBidi" w:cstheme="majorBidi"/>
          <w:b/>
          <w:bCs/>
          <w:sz w:val="24"/>
          <w:szCs w:val="24"/>
          <w:u w:val="single"/>
          <w:lang w:val="en-GB"/>
        </w:rPr>
        <w:t>Experimental protocol</w:t>
      </w:r>
    </w:p>
    <w:p w:rsidR="00CE406F" w:rsidRPr="00130CDF" w:rsidRDefault="00CE406F" w:rsidP="00E20473">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 xml:space="preserve">The analgesic effect of the natural remedy is evaluated according to the number of abdominal constrictions induced by the intraperitoneal (IP) injection of acetic acid (0.6%) v/v according to the method described by </w:t>
      </w:r>
      <w:r w:rsidRPr="00803E7C">
        <w:rPr>
          <w:rFonts w:asciiTheme="majorBidi" w:hAnsiTheme="majorBidi" w:cstheme="majorBidi"/>
          <w:b/>
          <w:bCs/>
          <w:sz w:val="24"/>
          <w:szCs w:val="24"/>
          <w:lang w:val="en-GB"/>
        </w:rPr>
        <w:t>(</w:t>
      </w:r>
      <w:r w:rsidR="00E20473" w:rsidRPr="00165130">
        <w:rPr>
          <w:rFonts w:asciiTheme="majorBidi" w:hAnsiTheme="majorBidi" w:cstheme="majorBidi"/>
          <w:b/>
          <w:bCs/>
          <w:color w:val="303030"/>
          <w:shd w:val="clear" w:color="auto" w:fill="FFFFFF"/>
          <w:lang w:val="en-GB"/>
        </w:rPr>
        <w:t>Seungyeop Lee,</w:t>
      </w:r>
      <w:r w:rsidR="00E20473" w:rsidRPr="00165130">
        <w:rPr>
          <w:rFonts w:asciiTheme="majorBidi" w:hAnsiTheme="majorBidi" w:cstheme="majorBidi"/>
          <w:b/>
          <w:bCs/>
          <w:color w:val="303030"/>
          <w:shd w:val="clear" w:color="auto" w:fill="FFFFFF"/>
          <w:lang w:val="en-GB"/>
        </w:rPr>
        <w:t xml:space="preserve"> </w:t>
      </w:r>
      <w:r w:rsidR="00165130" w:rsidRPr="00165130">
        <w:rPr>
          <w:rFonts w:asciiTheme="majorBidi" w:hAnsiTheme="majorBidi" w:cstheme="majorBidi"/>
          <w:b/>
          <w:bCs/>
          <w:color w:val="303030"/>
          <w:shd w:val="clear" w:color="auto" w:fill="FFFFFF"/>
          <w:lang w:val="en-GB"/>
        </w:rPr>
        <w:t>2017</w:t>
      </w:r>
      <w:r w:rsidRPr="00803E7C">
        <w:rPr>
          <w:rFonts w:asciiTheme="majorBidi" w:hAnsiTheme="majorBidi" w:cstheme="majorBidi"/>
          <w:b/>
          <w:bCs/>
          <w:sz w:val="24"/>
          <w:szCs w:val="24"/>
          <w:lang w:val="en-GB"/>
        </w:rPr>
        <w:t>)</w:t>
      </w:r>
      <w:r w:rsidRPr="00130CDF">
        <w:rPr>
          <w:rFonts w:asciiTheme="majorBidi" w:hAnsiTheme="majorBidi" w:cstheme="majorBidi"/>
          <w:sz w:val="24"/>
          <w:szCs w:val="24"/>
          <w:lang w:val="en-GB"/>
        </w:rPr>
        <w:t xml:space="preserve"> and </w:t>
      </w:r>
      <w:r w:rsidRPr="00803E7C">
        <w:rPr>
          <w:rFonts w:asciiTheme="majorBidi" w:hAnsiTheme="majorBidi" w:cstheme="majorBidi"/>
          <w:b/>
          <w:bCs/>
          <w:sz w:val="24"/>
          <w:szCs w:val="24"/>
          <w:lang w:val="en-GB"/>
        </w:rPr>
        <w:t>(Sawadogo et al., 2006).</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One hour after administration of the extract by gavage, the animals receive 0.6% acetic acid intraperitoneally at a dose of 10 ml/kg. The principle consists in counting, five minutes after the injection of acetic acid, the number of abdominal constrictions in each mouse for 10 minutes.</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The rats were fasted 18 hours before the experiment to avoid any digestive food interaction. Batches of Wistar rats were formed.</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b/>
          <w:bCs/>
          <w:sz w:val="24"/>
          <w:szCs w:val="24"/>
          <w:lang w:val="en-GB"/>
        </w:rPr>
        <w:t>Group1:</w:t>
      </w:r>
      <w:r w:rsidRPr="00130CDF">
        <w:rPr>
          <w:rFonts w:asciiTheme="majorBidi" w:hAnsiTheme="majorBidi" w:cstheme="majorBidi"/>
          <w:sz w:val="24"/>
          <w:szCs w:val="24"/>
          <w:lang w:val="en-GB"/>
        </w:rPr>
        <w:t xml:space="preserve"> The control group (untreated)</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The rats (n=03) receive distilled water (10ml/kg) by gavage, one hour before the injection of 0.6% acetic acid at a dose of 10ml/kg intraperitoneally.</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b/>
          <w:bCs/>
          <w:sz w:val="24"/>
          <w:szCs w:val="24"/>
          <w:lang w:val="en-GB"/>
        </w:rPr>
        <w:t>Group 02</w:t>
      </w:r>
      <w:r w:rsidRPr="00130CDF">
        <w:rPr>
          <w:rFonts w:asciiTheme="majorBidi" w:hAnsiTheme="majorBidi" w:cstheme="majorBidi"/>
          <w:sz w:val="24"/>
          <w:szCs w:val="24"/>
          <w:lang w:val="en-GB"/>
        </w:rPr>
        <w:t>: The reference group (paracetamol 100 mg/kg)</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The rats (n=03) receive, by gavage, paracetamol at a dose of (100mg/kg), one hour before the injection of 0.6% acetic acid.</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b/>
          <w:bCs/>
          <w:sz w:val="24"/>
          <w:szCs w:val="24"/>
          <w:lang w:val="en-GB"/>
        </w:rPr>
        <w:t>Group 03</w:t>
      </w:r>
      <w:r w:rsidRPr="00130CDF">
        <w:rPr>
          <w:rFonts w:asciiTheme="majorBidi" w:hAnsiTheme="majorBidi" w:cstheme="majorBidi"/>
          <w:sz w:val="24"/>
          <w:szCs w:val="24"/>
          <w:lang w:val="en-GB"/>
        </w:rPr>
        <w:t>: the treated group (Hydroalcoholic Red Extract)</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The rats (n=04) receive the hydroalcoholic extract by gavage at doses of (500mg/kg), one hour before the injection of 0.6% acetic acid at a dose of 10ml/kg intraperitoneally.</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b/>
          <w:bCs/>
          <w:sz w:val="24"/>
          <w:szCs w:val="24"/>
          <w:lang w:val="en-GB"/>
        </w:rPr>
        <w:t>Group 04:</w:t>
      </w:r>
      <w:r w:rsidRPr="00130CDF">
        <w:rPr>
          <w:rFonts w:asciiTheme="majorBidi" w:hAnsiTheme="majorBidi" w:cstheme="majorBidi"/>
          <w:sz w:val="24"/>
          <w:szCs w:val="24"/>
          <w:lang w:val="en-GB"/>
        </w:rPr>
        <w:t xml:space="preserve"> the treated group (Aqueous white extract)</w:t>
      </w:r>
    </w:p>
    <w:p w:rsidR="00CE406F" w:rsidRPr="00130CDF" w:rsidRDefault="00CE406F" w:rsidP="00CE406F">
      <w:pPr>
        <w:spacing w:line="360" w:lineRule="auto"/>
        <w:jc w:val="both"/>
        <w:rPr>
          <w:rFonts w:asciiTheme="majorBidi" w:hAnsiTheme="majorBidi" w:cstheme="majorBidi"/>
          <w:sz w:val="24"/>
          <w:szCs w:val="24"/>
          <w:lang w:val="en-GB"/>
        </w:rPr>
      </w:pPr>
      <w:r w:rsidRPr="00130CDF">
        <w:rPr>
          <w:rFonts w:asciiTheme="majorBidi" w:hAnsiTheme="majorBidi" w:cstheme="majorBidi"/>
          <w:sz w:val="24"/>
          <w:szCs w:val="24"/>
          <w:lang w:val="en-GB"/>
        </w:rPr>
        <w:t>The rats (n=04) receive the aqueous extract at a dose of (500mg/kg) by gavage, one hour before the injection of 0.6% acetic acid at a dose of 10ml/kg intraperitoneally.</w:t>
      </w:r>
    </w:p>
    <w:p w:rsidR="00CE406F" w:rsidRDefault="00CE406F" w:rsidP="00CE406F">
      <w:pPr>
        <w:jc w:val="center"/>
        <w:rPr>
          <w:rFonts w:asciiTheme="majorBidi" w:hAnsiTheme="majorBidi" w:cstheme="majorBidi"/>
          <w:noProof/>
          <w:sz w:val="26"/>
          <w:szCs w:val="26"/>
          <w:lang w:val="en-GB"/>
        </w:rPr>
      </w:pPr>
      <w:r>
        <w:rPr>
          <w:rFonts w:asciiTheme="majorBidi" w:hAnsiTheme="majorBidi" w:cstheme="majorBidi"/>
          <w:noProof/>
          <w:sz w:val="26"/>
          <w:szCs w:val="26"/>
          <w:lang w:eastAsia="fr-FR"/>
        </w:rPr>
        <w:lastRenderedPageBreak/>
        <w:drawing>
          <wp:inline distT="0" distB="0" distL="0" distR="0" wp14:anchorId="60537E40" wp14:editId="7E1F5582">
            <wp:extent cx="2961025" cy="2088000"/>
            <wp:effectExtent l="19050" t="19050" r="10795" b="266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20525_170109.jpg"/>
                    <pic:cNvPicPr/>
                  </pic:nvPicPr>
                  <pic:blipFill rotWithShape="1">
                    <a:blip r:embed="rId5" cstate="print">
                      <a:extLst>
                        <a:ext uri="{28A0092B-C50C-407E-A947-70E740481C1C}">
                          <a14:useLocalDpi xmlns:a14="http://schemas.microsoft.com/office/drawing/2010/main" val="0"/>
                        </a:ext>
                      </a:extLst>
                    </a:blip>
                    <a:srcRect r="23077"/>
                    <a:stretch/>
                  </pic:blipFill>
                  <pic:spPr bwMode="auto">
                    <a:xfrm>
                      <a:off x="0" y="0"/>
                      <a:ext cx="2961025" cy="2088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Pr>
          <w:rFonts w:asciiTheme="majorBidi" w:hAnsiTheme="majorBidi" w:cstheme="majorBidi"/>
          <w:noProof/>
          <w:sz w:val="26"/>
          <w:szCs w:val="26"/>
          <w:lang w:eastAsia="fr-FR"/>
        </w:rPr>
        <w:drawing>
          <wp:inline distT="0" distB="0" distL="0" distR="0" wp14:anchorId="13204A86" wp14:editId="58D7B88A">
            <wp:extent cx="2942988" cy="2088000"/>
            <wp:effectExtent l="19050" t="19050" r="10160" b="266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20525_164843.jpg"/>
                    <pic:cNvPicPr/>
                  </pic:nvPicPr>
                  <pic:blipFill rotWithShape="1">
                    <a:blip r:embed="rId6" cstate="print">
                      <a:extLst>
                        <a:ext uri="{28A0092B-C50C-407E-A947-70E740481C1C}">
                          <a14:useLocalDpi xmlns:a14="http://schemas.microsoft.com/office/drawing/2010/main" val="0"/>
                        </a:ext>
                      </a:extLst>
                    </a:blip>
                    <a:srcRect l="3551" t="4108" r="5880"/>
                    <a:stretch/>
                  </pic:blipFill>
                  <pic:spPr bwMode="auto">
                    <a:xfrm>
                      <a:off x="0" y="0"/>
                      <a:ext cx="2942988" cy="208800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Pr>
          <w:rFonts w:asciiTheme="majorBidi" w:hAnsiTheme="majorBidi" w:cstheme="majorBidi"/>
          <w:noProof/>
          <w:sz w:val="26"/>
          <w:szCs w:val="26"/>
          <w:lang w:val="en-GB"/>
        </w:rPr>
        <w:br/>
      </w:r>
      <w:r w:rsidR="00803E7C">
        <w:rPr>
          <w:rFonts w:asciiTheme="majorBidi" w:hAnsiTheme="majorBidi" w:cstheme="majorBidi"/>
          <w:b/>
          <w:bCs/>
          <w:noProof/>
          <w:sz w:val="26"/>
          <w:szCs w:val="26"/>
          <w:lang w:val="en-GB"/>
        </w:rPr>
        <w:t>Figure 1</w:t>
      </w:r>
      <w:r>
        <w:rPr>
          <w:rFonts w:asciiTheme="majorBidi" w:hAnsiTheme="majorBidi" w:cstheme="majorBidi"/>
          <w:noProof/>
          <w:sz w:val="26"/>
          <w:szCs w:val="26"/>
          <w:lang w:val="en-GB"/>
        </w:rPr>
        <w:t xml:space="preserve">. </w:t>
      </w:r>
      <w:r w:rsidRPr="005B60EC">
        <w:rPr>
          <w:rFonts w:asciiTheme="majorBidi" w:hAnsiTheme="majorBidi" w:cstheme="majorBidi"/>
          <w:noProof/>
          <w:sz w:val="26"/>
          <w:szCs w:val="26"/>
          <w:lang w:val="en-GB"/>
        </w:rPr>
        <w:t>abdominal constriction induced by injection of 0.6% acetic acid</w:t>
      </w:r>
    </w:p>
    <w:p w:rsidR="00724AF2" w:rsidRDefault="00724AF2">
      <w:pPr>
        <w:rPr>
          <w:lang w:val="en-GB"/>
        </w:rPr>
      </w:pPr>
    </w:p>
    <w:p w:rsidR="00803E7C" w:rsidRDefault="00803E7C">
      <w:pPr>
        <w:rPr>
          <w:lang w:val="en-GB"/>
        </w:rPr>
      </w:pPr>
    </w:p>
    <w:p w:rsidR="00803E7C" w:rsidRDefault="00803E7C">
      <w:pPr>
        <w:rPr>
          <w:lang w:val="en-GB"/>
        </w:rPr>
      </w:pPr>
    </w:p>
    <w:p w:rsidR="00CE406F" w:rsidRPr="00E20473" w:rsidRDefault="00CE406F" w:rsidP="00CE406F">
      <w:pPr>
        <w:rPr>
          <w:rFonts w:asciiTheme="majorBidi" w:hAnsiTheme="majorBidi" w:cstheme="majorBidi"/>
          <w:sz w:val="24"/>
          <w:szCs w:val="24"/>
          <w:lang w:val="en-GB"/>
        </w:rPr>
      </w:pPr>
      <w:r w:rsidRPr="00E20473">
        <w:rPr>
          <w:rFonts w:asciiTheme="majorBidi" w:hAnsiTheme="majorBidi" w:cstheme="majorBidi"/>
          <w:b/>
          <w:bCs/>
          <w:sz w:val="24"/>
          <w:szCs w:val="24"/>
          <w:u w:val="single"/>
          <w:lang w:val="en-GB"/>
        </w:rPr>
        <w:t xml:space="preserve">Analgesic </w:t>
      </w:r>
      <w:r w:rsidRPr="00E20473">
        <w:rPr>
          <w:rFonts w:asciiTheme="majorBidi" w:hAnsiTheme="majorBidi" w:cstheme="majorBidi"/>
          <w:b/>
          <w:bCs/>
          <w:sz w:val="24"/>
          <w:szCs w:val="24"/>
          <w:u w:val="single"/>
          <w:lang w:val="en-GB"/>
        </w:rPr>
        <w:t>effect measurement</w:t>
      </w:r>
      <w:r w:rsidRPr="00E20473">
        <w:rPr>
          <w:rFonts w:asciiTheme="majorBidi" w:hAnsiTheme="majorBidi" w:cstheme="majorBidi"/>
          <w:sz w:val="24"/>
          <w:szCs w:val="24"/>
          <w:lang w:val="en-GB"/>
        </w:rPr>
        <w:t xml:space="preserve"> </w:t>
      </w:r>
    </w:p>
    <w:p w:rsidR="00CE406F" w:rsidRPr="00E20473" w:rsidRDefault="00CE406F" w:rsidP="00CE406F">
      <w:pPr>
        <w:rPr>
          <w:rFonts w:asciiTheme="majorBidi" w:hAnsiTheme="majorBidi" w:cstheme="majorBidi"/>
          <w:sz w:val="24"/>
          <w:szCs w:val="24"/>
          <w:lang w:val="en-GB"/>
        </w:rPr>
      </w:pPr>
    </w:p>
    <w:p w:rsidR="00CE406F" w:rsidRPr="00E20473" w:rsidRDefault="00CE406F" w:rsidP="00CE406F">
      <w:pPr>
        <w:rPr>
          <w:rFonts w:asciiTheme="majorBidi" w:hAnsiTheme="majorBidi" w:cstheme="majorBidi"/>
          <w:sz w:val="24"/>
          <w:szCs w:val="24"/>
          <w:lang w:val="en-GB"/>
        </w:rPr>
      </w:pPr>
      <w:r w:rsidRPr="00E20473">
        <w:rPr>
          <w:rFonts w:asciiTheme="majorBidi" w:hAnsiTheme="majorBidi" w:cstheme="majorBidi"/>
          <w:sz w:val="24"/>
          <w:szCs w:val="24"/>
          <w:lang w:val="en-GB"/>
        </w:rPr>
        <w:t>The analgesic effect was evaluated according to the following formula:</w:t>
      </w:r>
    </w:p>
    <w:p w:rsidR="00CE406F" w:rsidRPr="00E20473" w:rsidRDefault="00CE406F" w:rsidP="00CE406F">
      <w:pPr>
        <w:pBdr>
          <w:top w:val="double" w:sz="4" w:space="1" w:color="auto"/>
          <w:left w:val="double" w:sz="4" w:space="4" w:color="auto"/>
          <w:bottom w:val="double" w:sz="4" w:space="1" w:color="auto"/>
          <w:right w:val="double" w:sz="4" w:space="0" w:color="auto"/>
        </w:pBdr>
        <w:ind w:left="2891" w:right="4139"/>
        <w:rPr>
          <w:rFonts w:asciiTheme="majorBidi" w:hAnsiTheme="majorBidi" w:cstheme="majorBidi"/>
          <w:sz w:val="24"/>
          <w:szCs w:val="24"/>
          <w:lang w:val="en-GB"/>
        </w:rPr>
      </w:pPr>
      <w:r w:rsidRPr="00E20473">
        <w:rPr>
          <w:rFonts w:asciiTheme="majorBidi" w:hAnsiTheme="majorBidi" w:cstheme="majorBidi"/>
          <w:sz w:val="24"/>
          <w:szCs w:val="24"/>
          <w:lang w:val="en-GB"/>
        </w:rPr>
        <w:t>% inhibition = {1-Wt/Wb}x 100</w:t>
      </w:r>
    </w:p>
    <w:p w:rsidR="00CE406F" w:rsidRPr="00E20473" w:rsidRDefault="00CE406F" w:rsidP="00CE406F">
      <w:pPr>
        <w:rPr>
          <w:rFonts w:asciiTheme="majorBidi" w:hAnsiTheme="majorBidi" w:cstheme="majorBidi"/>
          <w:sz w:val="24"/>
          <w:szCs w:val="24"/>
          <w:lang w:val="en-GB"/>
        </w:rPr>
      </w:pPr>
    </w:p>
    <w:p w:rsidR="00CE406F" w:rsidRPr="00E20473" w:rsidRDefault="00CE406F" w:rsidP="00CE406F">
      <w:pPr>
        <w:rPr>
          <w:rFonts w:asciiTheme="majorBidi" w:hAnsiTheme="majorBidi" w:cstheme="majorBidi"/>
          <w:sz w:val="24"/>
          <w:szCs w:val="24"/>
          <w:lang w:val="en-GB"/>
        </w:rPr>
      </w:pPr>
      <w:r w:rsidRPr="00E20473">
        <w:rPr>
          <w:rFonts w:asciiTheme="majorBidi" w:hAnsiTheme="majorBidi" w:cstheme="majorBidi"/>
          <w:sz w:val="24"/>
          <w:szCs w:val="24"/>
          <w:lang w:val="en-GB"/>
        </w:rPr>
        <w:t>Wb: represents the mean number of constrictions of the rats of the control group (untreated).</w:t>
      </w:r>
    </w:p>
    <w:p w:rsidR="00CE406F" w:rsidRPr="00E20473" w:rsidRDefault="00CE406F" w:rsidP="00CE406F">
      <w:pPr>
        <w:jc w:val="both"/>
        <w:rPr>
          <w:rFonts w:asciiTheme="majorBidi" w:hAnsiTheme="majorBidi" w:cstheme="majorBidi"/>
          <w:sz w:val="24"/>
          <w:szCs w:val="24"/>
          <w:lang w:val="en-GB"/>
        </w:rPr>
      </w:pPr>
      <w:r w:rsidRPr="00E20473">
        <w:rPr>
          <w:rFonts w:asciiTheme="majorBidi" w:hAnsiTheme="majorBidi" w:cstheme="majorBidi"/>
          <w:sz w:val="24"/>
          <w:szCs w:val="24"/>
          <w:lang w:val="en-GB"/>
        </w:rPr>
        <w:t>Wt.: represents the mean number of constrictions of the rats of the treated group.</w:t>
      </w:r>
    </w:p>
    <w:p w:rsidR="00CE406F" w:rsidRPr="00E20473" w:rsidRDefault="00CE406F">
      <w:pPr>
        <w:rPr>
          <w:rFonts w:asciiTheme="majorBidi" w:hAnsiTheme="majorBidi" w:cstheme="majorBidi"/>
          <w:b/>
          <w:bCs/>
          <w:i/>
          <w:iCs/>
          <w:sz w:val="24"/>
          <w:szCs w:val="24"/>
          <w:lang w:val="en-GB"/>
        </w:rPr>
      </w:pPr>
    </w:p>
    <w:p w:rsidR="00CE406F" w:rsidRPr="00803E7C" w:rsidRDefault="00E525C7">
      <w:pPr>
        <w:rPr>
          <w:rFonts w:asciiTheme="majorBidi" w:hAnsiTheme="majorBidi" w:cstheme="majorBidi"/>
          <w:b/>
          <w:bCs/>
          <w:i/>
          <w:iCs/>
          <w:sz w:val="28"/>
          <w:szCs w:val="28"/>
          <w:lang w:val="en-GB"/>
        </w:rPr>
      </w:pPr>
      <w:r w:rsidRPr="00E525C7">
        <w:rPr>
          <w:rFonts w:asciiTheme="majorBidi" w:hAnsiTheme="majorBidi" w:cstheme="majorBidi"/>
          <w:b/>
          <w:bCs/>
          <w:i/>
          <w:iCs/>
          <w:sz w:val="28"/>
          <w:szCs w:val="28"/>
          <w:lang w:val="en-GB"/>
        </w:rPr>
        <w:t>Results</w:t>
      </w:r>
    </w:p>
    <w:p w:rsidR="00E525C7" w:rsidRPr="00803E7C" w:rsidRDefault="00E525C7" w:rsidP="00E525C7">
      <w:pPr>
        <w:ind w:left="680" w:right="1128"/>
        <w:jc w:val="both"/>
        <w:rPr>
          <w:rFonts w:eastAsia="Calibri"/>
          <w:b/>
          <w:bCs/>
          <w:lang w:val="en-GB"/>
        </w:rPr>
      </w:pPr>
      <w:r w:rsidRPr="00803E7C">
        <w:rPr>
          <w:rFonts w:asciiTheme="majorBidi" w:eastAsia="Calibri" w:hAnsiTheme="majorBidi" w:cstheme="majorBidi"/>
          <w:b/>
          <w:bCs/>
          <w:lang w:val="en-GB"/>
        </w:rPr>
        <w:t>1. Ethnobotanical study</w:t>
      </w:r>
    </w:p>
    <w:p w:rsidR="00E525C7" w:rsidRPr="00824F0B" w:rsidRDefault="00E525C7" w:rsidP="00E525C7">
      <w:pPr>
        <w:ind w:left="680" w:right="1128" w:firstLine="709"/>
        <w:jc w:val="both"/>
        <w:rPr>
          <w:rFonts w:eastAsia="Calibri"/>
          <w:lang w:val="en-GB"/>
        </w:rPr>
      </w:pPr>
      <w:r w:rsidRPr="00824F0B">
        <w:rPr>
          <w:rFonts w:asciiTheme="majorBidi" w:eastAsia="Calibri" w:hAnsiTheme="majorBidi" w:cstheme="majorBidi"/>
          <w:lang w:val="en-GB"/>
        </w:rPr>
        <w:t>Our study focused on an ethnobotanical survey on the use of the panax ginseng plant over a period of 2 months. During which we approached people in public places, universities, herbalists, traditional healers, family and our relatives are also among the subjects questioned, these people are a sample of 66 individual cases from different slices of ages.</w:t>
      </w:r>
    </w:p>
    <w:p w:rsidR="00E525C7" w:rsidRPr="00824F0B" w:rsidRDefault="00E525C7" w:rsidP="00E525C7">
      <w:pPr>
        <w:ind w:left="680" w:right="1128" w:firstLine="709"/>
        <w:jc w:val="both"/>
        <w:rPr>
          <w:rFonts w:eastAsia="Calibri"/>
          <w:lang w:val="en-GB"/>
        </w:rPr>
      </w:pPr>
      <w:r>
        <w:rPr>
          <w:rFonts w:asciiTheme="majorBidi" w:eastAsia="Calibri" w:hAnsiTheme="majorBidi" w:cstheme="majorBidi"/>
          <w:lang w:val="en-GB"/>
        </w:rPr>
        <w:t>T</w:t>
      </w:r>
      <w:r w:rsidRPr="00824F0B">
        <w:rPr>
          <w:rFonts w:asciiTheme="majorBidi" w:eastAsia="Calibri" w:hAnsiTheme="majorBidi" w:cstheme="majorBidi"/>
          <w:lang w:val="en-GB"/>
        </w:rPr>
        <w:t>he age group most concerned is 26-36 years old, 30% among them use the plant</w:t>
      </w:r>
      <w:r>
        <w:rPr>
          <w:rFonts w:asciiTheme="majorBidi" w:eastAsia="Calibri" w:hAnsiTheme="majorBidi" w:cstheme="majorBidi"/>
          <w:lang w:val="en-GB"/>
        </w:rPr>
        <w:t>. T</w:t>
      </w:r>
      <w:r w:rsidRPr="00824F0B">
        <w:rPr>
          <w:rFonts w:asciiTheme="majorBidi" w:eastAsia="Calibri" w:hAnsiTheme="majorBidi" w:cstheme="majorBidi"/>
          <w:lang w:val="en-GB"/>
        </w:rPr>
        <w:t>his population is divided between the two sexes, of which 39 are female (i.e. 59%), and 27 are male (i.e. 41%).</w:t>
      </w:r>
    </w:p>
    <w:p w:rsidR="00E525C7" w:rsidRDefault="00E525C7" w:rsidP="00E525C7">
      <w:pPr>
        <w:ind w:left="680" w:right="1128" w:firstLine="709"/>
        <w:jc w:val="both"/>
        <w:rPr>
          <w:rFonts w:asciiTheme="majorBidi" w:eastAsia="Calibri" w:hAnsiTheme="majorBidi" w:cstheme="majorBidi"/>
          <w:lang w:val="en-GB"/>
        </w:rPr>
      </w:pPr>
      <w:r w:rsidRPr="00824F0B">
        <w:rPr>
          <w:rFonts w:asciiTheme="majorBidi" w:eastAsia="Calibri" w:hAnsiTheme="majorBidi" w:cstheme="majorBidi"/>
          <w:lang w:val="en-GB"/>
        </w:rPr>
        <w:t>Regarding the level of education, 56% of the population was graduated, and the rest of the respondents (41%) were divided between an average level of education (6%) and secondary level (27%), and only 9% for informants had levels of higher education (post-graduation). The data collected from the survey according to the level of education, revealed that the people they have at a higher level (graduation, post-graduation) use panax ginseng much more, as a treatment against certain diseases compared to the les people who have other levels (medium, secondary) who have not used the plant. Moreover, 62.12% of the graduates questioned use ginseng daily for its therapeutic virtues, against 19.69% of the population at another level. So, there is a relationship between the level of education and the use of this plant (p= 0.0006)</w:t>
      </w:r>
      <w:r>
        <w:rPr>
          <w:rFonts w:asciiTheme="majorBidi" w:eastAsia="Calibri" w:hAnsiTheme="majorBidi" w:cstheme="majorBidi"/>
          <w:lang w:val="en-GB"/>
        </w:rPr>
        <w:t>; (</w:t>
      </w:r>
      <w:r w:rsidRPr="00803E7C">
        <w:rPr>
          <w:rFonts w:asciiTheme="majorBidi" w:eastAsia="Calibri" w:hAnsiTheme="majorBidi" w:cstheme="majorBidi"/>
          <w:b/>
          <w:bCs/>
          <w:lang w:val="en-GB"/>
        </w:rPr>
        <w:t>table 1</w:t>
      </w:r>
      <w:r>
        <w:rPr>
          <w:rFonts w:asciiTheme="majorBidi" w:eastAsia="Calibri" w:hAnsiTheme="majorBidi" w:cstheme="majorBidi"/>
          <w:lang w:val="en-GB"/>
        </w:rPr>
        <w:t>).</w:t>
      </w:r>
    </w:p>
    <w:p w:rsidR="00E525C7" w:rsidRDefault="00E525C7" w:rsidP="00E525C7">
      <w:pPr>
        <w:ind w:left="680" w:right="1128"/>
        <w:contextualSpacing/>
        <w:jc w:val="both"/>
        <w:rPr>
          <w:rFonts w:asciiTheme="majorBidi" w:eastAsia="Calibri" w:hAnsiTheme="majorBidi" w:cstheme="majorBidi"/>
          <w:b/>
          <w:bCs/>
          <w:lang w:val="en-GB"/>
        </w:rPr>
      </w:pPr>
      <w:r w:rsidRPr="006B1648">
        <w:rPr>
          <w:rFonts w:asciiTheme="majorBidi" w:eastAsia="Calibri" w:hAnsiTheme="majorBidi" w:cstheme="majorBidi"/>
          <w:lang w:val="en-GB"/>
        </w:rPr>
        <w:t>59% of this population know the plant and its importan</w:t>
      </w:r>
      <w:r>
        <w:rPr>
          <w:rFonts w:asciiTheme="majorBidi" w:eastAsia="Calibri" w:hAnsiTheme="majorBidi" w:cstheme="majorBidi"/>
          <w:lang w:val="en-GB"/>
        </w:rPr>
        <w:t xml:space="preserve">ce, </w:t>
      </w:r>
      <w:r w:rsidRPr="002B56D7">
        <w:rPr>
          <w:rFonts w:asciiTheme="majorBidi" w:eastAsia="Calibri" w:hAnsiTheme="majorBidi" w:cstheme="majorBidi"/>
          <w:lang w:val="en-GB"/>
        </w:rPr>
        <w:t>bes</w:t>
      </w:r>
      <w:r>
        <w:rPr>
          <w:rFonts w:asciiTheme="majorBidi" w:eastAsia="Calibri" w:hAnsiTheme="majorBidi" w:cstheme="majorBidi"/>
          <w:lang w:val="en-GB"/>
        </w:rPr>
        <w:t xml:space="preserve">ides 49% they didn’t hear about it, this is </w:t>
      </w:r>
      <w:r>
        <w:rPr>
          <w:rFonts w:asciiTheme="majorBidi" w:eastAsia="Calibri" w:hAnsiTheme="majorBidi" w:cstheme="majorBidi"/>
          <w:lang w:val="en-GB" w:bidi="ar-DZ"/>
        </w:rPr>
        <w:t xml:space="preserve">due to the </w:t>
      </w:r>
      <w:r w:rsidRPr="00AE16F3">
        <w:rPr>
          <w:rFonts w:asciiTheme="majorBidi" w:eastAsia="Calibri" w:hAnsiTheme="majorBidi" w:cstheme="majorBidi"/>
          <w:lang w:val="en-GB" w:bidi="ar-DZ"/>
        </w:rPr>
        <w:t>f</w:t>
      </w:r>
      <w:r>
        <w:rPr>
          <w:rFonts w:asciiTheme="majorBidi" w:eastAsia="Calibri" w:hAnsiTheme="majorBidi" w:cstheme="majorBidi"/>
          <w:lang w:val="en-GB" w:bidi="ar-DZ"/>
        </w:rPr>
        <w:t>act that the source of the plant is Asian.</w:t>
      </w:r>
      <w:r w:rsidRPr="00B64BF0">
        <w:rPr>
          <w:rFonts w:ascii="Calibri" w:eastAsia="Calibri" w:hAnsi="Calibri"/>
          <w:noProof/>
          <w:lang w:val="en-GB"/>
        </w:rPr>
        <w:t xml:space="preserve"> </w:t>
      </w:r>
      <w:r>
        <w:rPr>
          <w:rFonts w:ascii="Calibri" w:eastAsia="Calibri" w:hAnsi="Calibri"/>
          <w:noProof/>
          <w:lang w:val="en-GB"/>
        </w:rPr>
        <w:t>(</w:t>
      </w:r>
      <w:r>
        <w:rPr>
          <w:rFonts w:asciiTheme="majorBidi" w:eastAsia="Calibri" w:hAnsiTheme="majorBidi" w:cstheme="majorBidi"/>
          <w:b/>
          <w:bCs/>
          <w:lang w:val="en-GB"/>
        </w:rPr>
        <w:t xml:space="preserve">Figure </w:t>
      </w:r>
      <w:r w:rsidR="00803E7C">
        <w:rPr>
          <w:rFonts w:asciiTheme="majorBidi" w:eastAsia="Calibri" w:hAnsiTheme="majorBidi" w:cstheme="majorBidi"/>
          <w:b/>
          <w:bCs/>
          <w:lang w:val="en-GB"/>
        </w:rPr>
        <w:t>2</w:t>
      </w:r>
      <w:r>
        <w:rPr>
          <w:rFonts w:asciiTheme="majorBidi" w:eastAsia="Calibri" w:hAnsiTheme="majorBidi" w:cstheme="majorBidi"/>
          <w:b/>
          <w:bCs/>
          <w:lang w:val="en-GB"/>
        </w:rPr>
        <w:t>).</w:t>
      </w:r>
    </w:p>
    <w:p w:rsidR="00E525C7" w:rsidRDefault="00E525C7" w:rsidP="00E525C7">
      <w:pPr>
        <w:ind w:left="680" w:right="1128"/>
        <w:contextualSpacing/>
        <w:jc w:val="both"/>
        <w:rPr>
          <w:rFonts w:asciiTheme="majorBidi" w:eastAsia="Calibri" w:hAnsiTheme="majorBidi" w:cstheme="majorBidi"/>
          <w:b/>
          <w:bCs/>
          <w:lang w:val="en-GB"/>
        </w:rPr>
      </w:pPr>
    </w:p>
    <w:p w:rsidR="00803E7C" w:rsidRPr="00824C23" w:rsidRDefault="00E525C7" w:rsidP="00824C23">
      <w:pPr>
        <w:ind w:left="708" w:right="1128" w:firstLine="28"/>
        <w:contextualSpacing/>
        <w:jc w:val="both"/>
        <w:rPr>
          <w:rFonts w:asciiTheme="majorBidi" w:eastAsia="Calibri" w:hAnsiTheme="majorBidi" w:cstheme="majorBidi"/>
          <w:b/>
          <w:bCs/>
          <w:lang w:val="en-GB"/>
        </w:rPr>
      </w:pPr>
      <w:r>
        <w:rPr>
          <w:rFonts w:asciiTheme="majorBidi" w:eastAsia="Calibri" w:hAnsiTheme="majorBidi" w:cstheme="majorBidi"/>
          <w:lang w:val="en-GB"/>
        </w:rPr>
        <w:t>There are three interests which is the therapeutic one, 67% of the informants use for that purpose, on the other hand, there are 19% and 14% use it for cosmetic and food purposes respectively</w:t>
      </w:r>
      <w:r w:rsidRPr="00B64BF0">
        <w:rPr>
          <w:rFonts w:ascii="Calibri" w:eastAsia="Calibri" w:hAnsi="Calibri"/>
          <w:noProof/>
          <w:lang w:val="en-GB"/>
        </w:rPr>
        <w:t xml:space="preserve"> </w:t>
      </w:r>
      <w:r>
        <w:rPr>
          <w:rFonts w:ascii="Calibri" w:eastAsia="Calibri" w:hAnsi="Calibri"/>
          <w:noProof/>
          <w:lang w:val="en-GB"/>
        </w:rPr>
        <w:t>(</w:t>
      </w:r>
      <w:r w:rsidR="00803E7C">
        <w:rPr>
          <w:rFonts w:asciiTheme="majorBidi" w:eastAsia="Calibri" w:hAnsiTheme="majorBidi" w:cstheme="majorBidi"/>
          <w:b/>
          <w:bCs/>
          <w:lang w:val="en-GB"/>
        </w:rPr>
        <w:t>Figure 3</w:t>
      </w:r>
      <w:r>
        <w:rPr>
          <w:rFonts w:asciiTheme="majorBidi" w:eastAsia="Calibri" w:hAnsiTheme="majorBidi" w:cstheme="majorBidi"/>
          <w:b/>
          <w:bCs/>
          <w:lang w:val="en-GB"/>
        </w:rPr>
        <w:t>).</w:t>
      </w:r>
    </w:p>
    <w:p w:rsidR="00E525C7" w:rsidRDefault="00E525C7" w:rsidP="00E525C7">
      <w:pPr>
        <w:rPr>
          <w:rFonts w:asciiTheme="majorBidi" w:eastAsia="Calibri" w:hAnsiTheme="majorBidi" w:cstheme="majorBidi"/>
          <w:lang w:val="en-GB"/>
        </w:rPr>
      </w:pPr>
    </w:p>
    <w:p w:rsidR="00E525C7" w:rsidRPr="00635BE1" w:rsidRDefault="00E525C7" w:rsidP="00E525C7">
      <w:pPr>
        <w:jc w:val="center"/>
        <w:rPr>
          <w:rFonts w:eastAsia="Calibri"/>
          <w:lang w:val="en-GB"/>
        </w:rPr>
      </w:pPr>
      <w:r>
        <w:rPr>
          <w:rFonts w:asciiTheme="majorBidi" w:eastAsia="Calibri" w:hAnsiTheme="majorBidi" w:cstheme="majorBidi"/>
          <w:b/>
          <w:bCs/>
          <w:lang w:val="en-GB"/>
        </w:rPr>
        <w:t xml:space="preserve">Table </w:t>
      </w:r>
      <w:r w:rsidRPr="00824F0B">
        <w:rPr>
          <w:rFonts w:asciiTheme="majorBidi" w:eastAsia="Calibri" w:hAnsiTheme="majorBidi" w:cstheme="majorBidi"/>
          <w:b/>
          <w:bCs/>
          <w:lang w:val="en-GB"/>
        </w:rPr>
        <w:t xml:space="preserve">1: </w:t>
      </w:r>
      <w:r>
        <w:rPr>
          <w:rFonts w:asciiTheme="majorBidi" w:eastAsia="Calibri" w:hAnsiTheme="majorBidi" w:cstheme="majorBidi"/>
          <w:lang w:val="en-GB"/>
        </w:rPr>
        <w:t>D</w:t>
      </w:r>
      <w:r w:rsidRPr="00635BE1">
        <w:rPr>
          <w:rFonts w:asciiTheme="majorBidi" w:eastAsia="Calibri" w:hAnsiTheme="majorBidi" w:cstheme="majorBidi"/>
          <w:lang w:val="en-GB"/>
        </w:rPr>
        <w:t>istribution of use of the plant according to different situations</w:t>
      </w:r>
      <w:r w:rsidRPr="00635BE1">
        <w:rPr>
          <w:rFonts w:asciiTheme="majorBidi" w:eastAsia="Calibri" w:hAnsiTheme="majorBidi" w:cstheme="majorBidi"/>
          <w:lang w:val="en-GB"/>
        </w:rPr>
        <w:fldChar w:fldCharType="begin"/>
      </w:r>
      <w:r w:rsidRPr="00635BE1">
        <w:rPr>
          <w:rFonts w:asciiTheme="majorBidi" w:eastAsia="Calibri" w:hAnsiTheme="majorBidi" w:cstheme="majorBidi"/>
          <w:lang w:val="en-GB"/>
        </w:rPr>
        <w:instrText xml:space="preserve"> LINK Excel.Sheet.12 "C:\\Users\\DELL\\Downloads\\24.05.2022 (1).xlsx" "Analyses!L2C12:L21C18" \a \f 5 \h  \* MERGEFORMAT </w:instrText>
      </w:r>
      <w:r w:rsidRPr="00635BE1">
        <w:rPr>
          <w:rFonts w:asciiTheme="majorBidi" w:eastAsia="Calibri" w:hAnsiTheme="majorBidi" w:cstheme="majorBidi"/>
          <w:lang w:val="en-GB"/>
        </w:rPr>
        <w:fldChar w:fldCharType="separate"/>
      </w:r>
    </w:p>
    <w:tbl>
      <w:tblPr>
        <w:tblStyle w:val="TableauGrille4-Accentuation2"/>
        <w:tblpPr w:leftFromText="141" w:rightFromText="141" w:vertAnchor="text" w:horzAnchor="margin" w:tblpXSpec="center" w:tblpY="-29"/>
        <w:tblW w:w="8359" w:type="dxa"/>
        <w:tblLook w:val="04A0" w:firstRow="1" w:lastRow="0" w:firstColumn="1" w:lastColumn="0" w:noHBand="0" w:noVBand="1"/>
      </w:tblPr>
      <w:tblGrid>
        <w:gridCol w:w="1534"/>
        <w:gridCol w:w="1296"/>
        <w:gridCol w:w="1276"/>
        <w:gridCol w:w="1134"/>
        <w:gridCol w:w="1418"/>
        <w:gridCol w:w="850"/>
        <w:gridCol w:w="851"/>
      </w:tblGrid>
      <w:tr w:rsidR="00E525C7" w:rsidTr="00671C8F">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830" w:type="dxa"/>
            <w:gridSpan w:val="2"/>
            <w:vMerge w:val="restart"/>
            <w:tcBorders>
              <w:top w:val="nil"/>
              <w:left w:val="nil"/>
              <w:bottom w:val="nil"/>
              <w:right w:val="single" w:sz="4" w:space="0" w:color="843C0B"/>
            </w:tcBorders>
            <w:shd w:val="clear" w:color="auto" w:fill="FFFFFF"/>
            <w:hideMark/>
          </w:tcPr>
          <w:p w:rsidR="00E525C7" w:rsidRPr="00635BE1" w:rsidRDefault="00E525C7" w:rsidP="00671C8F">
            <w:pPr>
              <w:jc w:val="both"/>
              <w:rPr>
                <w:b w:val="0"/>
                <w:bCs w:val="0"/>
                <w:color w:val="FFFFFF"/>
                <w:lang w:val="en-GB"/>
              </w:rPr>
            </w:pPr>
          </w:p>
        </w:tc>
        <w:tc>
          <w:tcPr>
            <w:tcW w:w="4678" w:type="dxa"/>
            <w:gridSpan w:val="4"/>
            <w:tcBorders>
              <w:left w:val="single" w:sz="4" w:space="0" w:color="843C0B"/>
            </w:tcBorders>
            <w:shd w:val="clear" w:color="auto" w:fill="F4B183"/>
            <w:hideMark/>
          </w:tcPr>
          <w:p w:rsidR="00E525C7" w:rsidRPr="00635BE1" w:rsidRDefault="00E525C7" w:rsidP="00671C8F">
            <w:pPr>
              <w:jc w:val="center"/>
              <w:cnfStyle w:val="100000000000" w:firstRow="1" w:lastRow="0" w:firstColumn="0" w:lastColumn="0" w:oddVBand="0" w:evenVBand="0" w:oddHBand="0" w:evenHBand="0" w:firstRowFirstColumn="0" w:firstRowLastColumn="0" w:lastRowFirstColumn="0" w:lastRowLastColumn="0"/>
              <w:rPr>
                <w:b w:val="0"/>
                <w:bCs w:val="0"/>
                <w:color w:val="FFFFFF"/>
                <w:lang w:val="en-GB"/>
              </w:rPr>
            </w:pPr>
            <w:r w:rsidRPr="00E525C7">
              <w:rPr>
                <w:rFonts w:asciiTheme="majorBidi" w:hAnsiTheme="majorBidi" w:cstheme="majorBidi"/>
                <w:color w:val="auto"/>
                <w:lang w:val="en-GB"/>
              </w:rPr>
              <w:t>using</w:t>
            </w:r>
            <w:r>
              <w:rPr>
                <w:rFonts w:asciiTheme="majorBidi" w:hAnsiTheme="majorBidi" w:cstheme="majorBidi"/>
                <w:color w:val="FFFFFF"/>
                <w:lang w:val="en-GB"/>
              </w:rPr>
              <w:t xml:space="preserve"> </w:t>
            </w:r>
          </w:p>
        </w:tc>
        <w:tc>
          <w:tcPr>
            <w:tcW w:w="851" w:type="dxa"/>
            <w:shd w:val="clear" w:color="auto" w:fill="F4B183"/>
            <w:hideMark/>
          </w:tcPr>
          <w:p w:rsidR="00E525C7" w:rsidRPr="00635BE1" w:rsidRDefault="00E525C7" w:rsidP="00671C8F">
            <w:pPr>
              <w:jc w:val="both"/>
              <w:cnfStyle w:val="100000000000" w:firstRow="1" w:lastRow="0" w:firstColumn="0" w:lastColumn="0" w:oddVBand="0" w:evenVBand="0" w:oddHBand="0" w:evenHBand="0" w:firstRowFirstColumn="0" w:firstRowLastColumn="0" w:lastRowFirstColumn="0" w:lastRowLastColumn="0"/>
              <w:rPr>
                <w:b w:val="0"/>
                <w:bCs w:val="0"/>
                <w:color w:val="FFFFFF"/>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gridSpan w:val="2"/>
            <w:vMerge/>
            <w:tcBorders>
              <w:top w:val="nil"/>
              <w:left w:val="nil"/>
              <w:bottom w:val="nil"/>
              <w:right w:val="single" w:sz="4" w:space="0" w:color="843C0B"/>
            </w:tcBorders>
            <w:shd w:val="clear" w:color="auto" w:fill="FFFFFF"/>
            <w:hideMark/>
          </w:tcPr>
          <w:p w:rsidR="00E525C7" w:rsidRPr="00635BE1" w:rsidRDefault="00E525C7" w:rsidP="00671C8F">
            <w:pPr>
              <w:jc w:val="both"/>
              <w:rPr>
                <w:b w:val="0"/>
                <w:bCs w:val="0"/>
                <w:lang w:val="en-GB"/>
              </w:rPr>
            </w:pPr>
          </w:p>
        </w:tc>
        <w:tc>
          <w:tcPr>
            <w:tcW w:w="2410" w:type="dxa"/>
            <w:gridSpan w:val="2"/>
            <w:tcBorders>
              <w:left w:val="single" w:sz="4" w:space="0" w:color="843C0B"/>
            </w:tcBorders>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No</w:t>
            </w:r>
          </w:p>
        </w:tc>
        <w:tc>
          <w:tcPr>
            <w:tcW w:w="2268" w:type="dxa"/>
            <w:gridSpan w:val="2"/>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Yes</w:t>
            </w:r>
          </w:p>
        </w:tc>
        <w:tc>
          <w:tcPr>
            <w:tcW w:w="851" w:type="dxa"/>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2830" w:type="dxa"/>
            <w:gridSpan w:val="2"/>
            <w:vMerge/>
            <w:tcBorders>
              <w:top w:val="nil"/>
              <w:left w:val="nil"/>
              <w:bottom w:val="nil"/>
              <w:right w:val="single" w:sz="4" w:space="0" w:color="843C0B"/>
            </w:tcBorders>
            <w:shd w:val="clear" w:color="auto" w:fill="FFFFFF"/>
            <w:hideMark/>
          </w:tcPr>
          <w:p w:rsidR="00E525C7" w:rsidRPr="00635BE1" w:rsidRDefault="00E525C7" w:rsidP="00671C8F">
            <w:pPr>
              <w:jc w:val="both"/>
              <w:rPr>
                <w:b w:val="0"/>
                <w:bCs w:val="0"/>
                <w:lang w:val="en-GB"/>
              </w:rPr>
            </w:pPr>
          </w:p>
        </w:tc>
        <w:tc>
          <w:tcPr>
            <w:tcW w:w="1276" w:type="dxa"/>
            <w:tcBorders>
              <w:left w:val="single" w:sz="4" w:space="0" w:color="843C0B"/>
            </w:tcBorders>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Effective</w:t>
            </w:r>
          </w:p>
        </w:tc>
        <w:tc>
          <w:tcPr>
            <w:tcW w:w="1134" w:type="dxa"/>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w:t>
            </w:r>
          </w:p>
        </w:tc>
        <w:tc>
          <w:tcPr>
            <w:tcW w:w="1418" w:type="dxa"/>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Effective</w:t>
            </w:r>
          </w:p>
        </w:tc>
        <w:tc>
          <w:tcPr>
            <w:tcW w:w="850" w:type="dxa"/>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w:t>
            </w:r>
          </w:p>
        </w:tc>
        <w:tc>
          <w:tcPr>
            <w:tcW w:w="851" w:type="dxa"/>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P</w:t>
            </w: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tcBorders>
              <w:top w:val="nil"/>
            </w:tcBorders>
            <w:hideMark/>
          </w:tcPr>
          <w:p w:rsidR="00E525C7" w:rsidRPr="00635BE1" w:rsidRDefault="00E525C7" w:rsidP="00671C8F">
            <w:pPr>
              <w:jc w:val="both"/>
              <w:rPr>
                <w:b w:val="0"/>
                <w:bCs w:val="0"/>
                <w:lang w:val="en-GB"/>
              </w:rPr>
            </w:pPr>
            <w:r w:rsidRPr="00635BE1">
              <w:rPr>
                <w:rFonts w:asciiTheme="majorBidi" w:hAnsiTheme="majorBidi" w:cstheme="majorBidi"/>
                <w:lang w:val="en-GB"/>
              </w:rPr>
              <w:t>Knowing the importance</w:t>
            </w:r>
          </w:p>
        </w:tc>
        <w:tc>
          <w:tcPr>
            <w:tcW w:w="1296" w:type="dxa"/>
            <w:tcBorders>
              <w:top w:val="nil"/>
            </w:tcBorders>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Yes</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7</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58.3%</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33</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61.1%</w:t>
            </w:r>
          </w:p>
        </w:tc>
        <w:tc>
          <w:tcPr>
            <w:tcW w:w="851" w:type="dxa"/>
            <w:vMerge w:val="restart"/>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1.000</w:t>
            </w: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No</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41.7%</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21</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38.9%</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hideMark/>
          </w:tcPr>
          <w:p w:rsidR="00E525C7" w:rsidRPr="00635BE1" w:rsidRDefault="00E525C7" w:rsidP="00671C8F">
            <w:pPr>
              <w:jc w:val="both"/>
              <w:rPr>
                <w:b w:val="0"/>
                <w:bCs w:val="0"/>
                <w:lang w:val="en-GB"/>
              </w:rPr>
            </w:pPr>
            <w:r w:rsidRPr="00635BE1">
              <w:rPr>
                <w:rFonts w:asciiTheme="majorBidi" w:hAnsiTheme="majorBidi" w:cstheme="majorBidi"/>
                <w:lang w:val="en-GB"/>
              </w:rPr>
              <w:t>Gender</w:t>
            </w: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Male</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5</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41.7%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22</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40.7%</w:t>
            </w:r>
          </w:p>
        </w:tc>
        <w:tc>
          <w:tcPr>
            <w:tcW w:w="851" w:type="dxa"/>
            <w:vMerge w:val="restart"/>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1.000</w:t>
            </w: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Female</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7</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58.3%</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32</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59.3%</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hideMark/>
          </w:tcPr>
          <w:p w:rsidR="00E525C7" w:rsidRPr="00635BE1" w:rsidRDefault="00E525C7" w:rsidP="00671C8F">
            <w:pPr>
              <w:jc w:val="both"/>
              <w:rPr>
                <w:b w:val="0"/>
                <w:bCs w:val="0"/>
                <w:lang w:val="en-GB"/>
              </w:rPr>
            </w:pPr>
            <w:r w:rsidRPr="00635BE1">
              <w:rPr>
                <w:rFonts w:asciiTheme="majorBidi" w:hAnsiTheme="majorBidi" w:cstheme="majorBidi"/>
                <w:lang w:val="en-GB"/>
              </w:rPr>
              <w:t>Age</w:t>
            </w: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15-25 y. o</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4</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33.3%</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8</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15.1%</w:t>
            </w:r>
          </w:p>
        </w:tc>
        <w:tc>
          <w:tcPr>
            <w:tcW w:w="851" w:type="dxa"/>
            <w:vMerge w:val="restart"/>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0.323</w:t>
            </w: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26-36 y. o</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25.0%</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16</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30.2%</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37-47 y. o</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16.7%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15</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28.3%</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48-59 y. o</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8.3%</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11</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20.8%</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59-69 y. o</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16.7%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3</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5.7%</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hideMark/>
          </w:tcPr>
          <w:p w:rsidR="00E525C7" w:rsidRPr="00635BE1" w:rsidRDefault="00E525C7" w:rsidP="00671C8F">
            <w:pPr>
              <w:jc w:val="both"/>
              <w:rPr>
                <w:b w:val="0"/>
                <w:bCs w:val="0"/>
                <w:lang w:val="en-GB"/>
              </w:rPr>
            </w:pPr>
            <w:r w:rsidRPr="00635BE1">
              <w:rPr>
                <w:rFonts w:asciiTheme="majorBidi" w:hAnsiTheme="majorBidi" w:cstheme="majorBidi"/>
                <w:lang w:val="en-GB"/>
              </w:rPr>
              <w:t>interrogates</w:t>
            </w: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Scientific</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9</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75.0%</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28</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51.9%</w:t>
            </w:r>
          </w:p>
        </w:tc>
        <w:tc>
          <w:tcPr>
            <w:tcW w:w="851" w:type="dxa"/>
            <w:vMerge w:val="restart"/>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0.638</w:t>
            </w: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Household</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16.7%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14</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25.9%</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Herbalist</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8.3%</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8</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14.8%</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Traditional therapist</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0.0%</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4</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7.4%</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val="restart"/>
            <w:hideMark/>
          </w:tcPr>
          <w:p w:rsidR="00E525C7" w:rsidRPr="00635BE1" w:rsidRDefault="00E525C7" w:rsidP="00671C8F">
            <w:pPr>
              <w:jc w:val="both"/>
              <w:rPr>
                <w:b w:val="0"/>
                <w:bCs w:val="0"/>
                <w:lang w:val="en-GB"/>
              </w:rPr>
            </w:pPr>
            <w:r w:rsidRPr="00635BE1">
              <w:rPr>
                <w:rFonts w:asciiTheme="majorBidi" w:hAnsiTheme="majorBidi" w:cstheme="majorBidi"/>
                <w:lang w:val="en-GB"/>
              </w:rPr>
              <w:t>Educational level</w:t>
            </w: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Medium</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1</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8.3%</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5.6%</w:t>
            </w:r>
          </w:p>
        </w:tc>
        <w:tc>
          <w:tcPr>
            <w:tcW w:w="851" w:type="dxa"/>
            <w:vMerge w:val="restart"/>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color w:val="C00000"/>
                <w:lang w:val="en-GB"/>
              </w:rPr>
              <w:t>0.006</w:t>
            </w:r>
          </w:p>
        </w:tc>
      </w:tr>
      <w:tr w:rsidR="00E525C7" w:rsidTr="00671C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Secondary</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8</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66.7%</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10</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18.5%</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r w:rsidR="00E525C7" w:rsidTr="00671C8F">
        <w:trPr>
          <w:trHeight w:val="30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Graduation</w:t>
            </w:r>
          </w:p>
        </w:tc>
        <w:tc>
          <w:tcPr>
            <w:tcW w:w="1276"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w:t>
            </w:r>
          </w:p>
        </w:tc>
        <w:tc>
          <w:tcPr>
            <w:tcW w:w="1134"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25.0%</w:t>
            </w:r>
          </w:p>
        </w:tc>
        <w:tc>
          <w:tcPr>
            <w:tcW w:w="1418"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35</w:t>
            </w:r>
          </w:p>
        </w:tc>
        <w:tc>
          <w:tcPr>
            <w:tcW w:w="850" w:type="dxa"/>
            <w:noWrap/>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r w:rsidRPr="00635BE1">
              <w:rPr>
                <w:rFonts w:asciiTheme="majorBidi" w:hAnsiTheme="majorBidi" w:cstheme="majorBidi"/>
                <w:lang w:val="en-GB"/>
              </w:rPr>
              <w:t>64.8%</w:t>
            </w:r>
          </w:p>
        </w:tc>
        <w:tc>
          <w:tcPr>
            <w:tcW w:w="851" w:type="dxa"/>
            <w:vMerge/>
            <w:hideMark/>
          </w:tcPr>
          <w:p w:rsidR="00E525C7" w:rsidRPr="00635BE1" w:rsidRDefault="00E525C7" w:rsidP="00671C8F">
            <w:pPr>
              <w:jc w:val="both"/>
              <w:cnfStyle w:val="000000000000" w:firstRow="0" w:lastRow="0" w:firstColumn="0" w:lastColumn="0" w:oddVBand="0" w:evenVBand="0" w:oddHBand="0" w:evenHBand="0" w:firstRowFirstColumn="0" w:firstRowLastColumn="0" w:lastRowFirstColumn="0" w:lastRowLastColumn="0"/>
              <w:rPr>
                <w:lang w:val="en-GB"/>
              </w:rPr>
            </w:pPr>
          </w:p>
        </w:tc>
      </w:tr>
      <w:tr w:rsidR="00E525C7" w:rsidTr="00671C8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4" w:type="dxa"/>
            <w:vMerge/>
            <w:hideMark/>
          </w:tcPr>
          <w:p w:rsidR="00E525C7" w:rsidRPr="00635BE1" w:rsidRDefault="00E525C7" w:rsidP="00671C8F">
            <w:pPr>
              <w:jc w:val="both"/>
              <w:rPr>
                <w:b w:val="0"/>
                <w:bCs w:val="0"/>
                <w:lang w:val="en-GB"/>
              </w:rPr>
            </w:pPr>
          </w:p>
        </w:tc>
        <w:tc>
          <w:tcPr>
            <w:tcW w:w="129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sz w:val="16"/>
                <w:szCs w:val="16"/>
              </w:rPr>
            </w:pPr>
            <w:r w:rsidRPr="00635BE1">
              <w:rPr>
                <w:rFonts w:asciiTheme="majorBidi" w:hAnsiTheme="majorBidi" w:cstheme="majorBidi"/>
                <w:lang w:val="en-GB"/>
              </w:rPr>
              <w:t xml:space="preserve">Post </w:t>
            </w:r>
            <w:r w:rsidRPr="00635BE1">
              <w:rPr>
                <w:rFonts w:asciiTheme="majorBidi" w:hAnsiTheme="majorBidi" w:cstheme="majorBidi"/>
              </w:rPr>
              <w:t>graduation</w:t>
            </w:r>
          </w:p>
        </w:tc>
        <w:tc>
          <w:tcPr>
            <w:tcW w:w="1276"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w:t>
            </w:r>
          </w:p>
        </w:tc>
        <w:tc>
          <w:tcPr>
            <w:tcW w:w="1134"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0.0%</w:t>
            </w:r>
          </w:p>
        </w:tc>
        <w:tc>
          <w:tcPr>
            <w:tcW w:w="1418"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6</w:t>
            </w:r>
          </w:p>
        </w:tc>
        <w:tc>
          <w:tcPr>
            <w:tcW w:w="850" w:type="dxa"/>
            <w:noWrap/>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r w:rsidRPr="00635BE1">
              <w:rPr>
                <w:rFonts w:asciiTheme="majorBidi" w:hAnsiTheme="majorBidi" w:cstheme="majorBidi"/>
                <w:lang w:val="en-GB"/>
              </w:rPr>
              <w:t>11.1%</w:t>
            </w:r>
          </w:p>
        </w:tc>
        <w:tc>
          <w:tcPr>
            <w:tcW w:w="851" w:type="dxa"/>
            <w:vMerge/>
            <w:hideMark/>
          </w:tcPr>
          <w:p w:rsidR="00E525C7" w:rsidRPr="00635BE1" w:rsidRDefault="00E525C7" w:rsidP="00671C8F">
            <w:pPr>
              <w:jc w:val="both"/>
              <w:cnfStyle w:val="000000100000" w:firstRow="0" w:lastRow="0" w:firstColumn="0" w:lastColumn="0" w:oddVBand="0" w:evenVBand="0" w:oddHBand="1" w:evenHBand="0" w:firstRowFirstColumn="0" w:firstRowLastColumn="0" w:lastRowFirstColumn="0" w:lastRowLastColumn="0"/>
              <w:rPr>
                <w:lang w:val="en-GB"/>
              </w:rPr>
            </w:pPr>
          </w:p>
        </w:tc>
      </w:tr>
    </w:tbl>
    <w:p w:rsidR="00E525C7" w:rsidRDefault="00E525C7" w:rsidP="00E525C7">
      <w:pPr>
        <w:ind w:left="680" w:right="1128"/>
        <w:contextualSpacing/>
        <w:jc w:val="both"/>
        <w:rPr>
          <w:rFonts w:asciiTheme="majorBidi" w:eastAsia="Calibri" w:hAnsiTheme="majorBidi" w:cstheme="majorBidi"/>
          <w:lang w:val="en-GB"/>
        </w:rPr>
      </w:pPr>
      <w:r w:rsidRPr="00635BE1">
        <w:rPr>
          <w:rFonts w:asciiTheme="majorBidi" w:eastAsia="Calibri" w:hAnsiTheme="majorBidi" w:cstheme="majorBidi"/>
          <w:lang w:val="en-GB"/>
        </w:rPr>
        <w:fldChar w:fldCharType="end"/>
      </w:r>
    </w:p>
    <w:p w:rsidR="00E525C7" w:rsidRDefault="00E525C7" w:rsidP="00E525C7">
      <w:pPr>
        <w:ind w:left="680" w:right="1128"/>
        <w:contextualSpacing/>
        <w:jc w:val="both"/>
        <w:rPr>
          <w:rFonts w:asciiTheme="majorBidi" w:eastAsia="Calibri" w:hAnsiTheme="majorBidi" w:cstheme="majorBidi"/>
          <w:lang w:val="en-GB"/>
        </w:rPr>
      </w:pPr>
    </w:p>
    <w:p w:rsidR="00E525C7" w:rsidRDefault="00E525C7" w:rsidP="00E525C7">
      <w:pPr>
        <w:ind w:left="680" w:right="1128"/>
        <w:jc w:val="center"/>
        <w:rPr>
          <w:rFonts w:eastAsia="Calibri"/>
          <w:lang w:val="en-GB"/>
        </w:rPr>
      </w:pPr>
      <w:r>
        <w:rPr>
          <w:noProof/>
          <w:lang w:eastAsia="fr-FR"/>
        </w:rPr>
        <w:drawing>
          <wp:inline distT="0" distB="0" distL="0" distR="0" wp14:anchorId="20A1355A" wp14:editId="63888BB2">
            <wp:extent cx="4572000" cy="2743200"/>
            <wp:effectExtent l="0" t="0" r="0" b="0"/>
            <wp:docPr id="1557995871" name="Graphique 6">
              <a:extLst xmlns:a="http://schemas.openxmlformats.org/drawingml/2006/main">
                <a:ext uri="{FF2B5EF4-FFF2-40B4-BE49-F238E27FC236}">
                  <a16:creationId xmlns:a16="http://schemas.microsoft.com/office/drawing/2014/main" id="{4E65FF4F-3058-412D-8C11-B431958D20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heme="majorBidi" w:eastAsia="Calibri" w:hAnsiTheme="majorBidi" w:cstheme="majorBidi"/>
          <w:sz w:val="36"/>
          <w:szCs w:val="36"/>
          <w:lang w:val="en-GB"/>
        </w:rPr>
        <w:br/>
      </w:r>
      <w:r>
        <w:rPr>
          <w:rFonts w:asciiTheme="majorBidi" w:eastAsia="Calibri" w:hAnsiTheme="majorBidi" w:cstheme="majorBidi"/>
          <w:b/>
          <w:bCs/>
          <w:lang w:val="en-GB"/>
        </w:rPr>
        <w:t xml:space="preserve">Figure </w:t>
      </w:r>
      <w:r w:rsidR="00803E7C">
        <w:rPr>
          <w:rFonts w:asciiTheme="majorBidi" w:eastAsia="Calibri" w:hAnsiTheme="majorBidi" w:cstheme="majorBidi"/>
          <w:b/>
          <w:bCs/>
          <w:lang w:val="en-GB"/>
        </w:rPr>
        <w:t>2</w:t>
      </w:r>
      <w:r w:rsidRPr="00BE0042">
        <w:rPr>
          <w:rFonts w:asciiTheme="majorBidi" w:eastAsia="Calibri" w:hAnsiTheme="majorBidi" w:cstheme="majorBidi"/>
          <w:lang w:val="en-GB"/>
        </w:rPr>
        <w:t>. The percentage of people who know the panax ginseng</w:t>
      </w:r>
      <w:r>
        <w:rPr>
          <w:rFonts w:asciiTheme="majorBidi" w:eastAsia="Calibri" w:hAnsiTheme="majorBidi" w:cstheme="majorBidi"/>
          <w:lang w:val="en-GB"/>
        </w:rPr>
        <w:t>.</w:t>
      </w:r>
    </w:p>
    <w:p w:rsidR="00E525C7" w:rsidRPr="00E14EC8" w:rsidRDefault="00E525C7" w:rsidP="00E525C7">
      <w:pPr>
        <w:jc w:val="both"/>
        <w:rPr>
          <w:rFonts w:eastAsia="Calibri"/>
          <w:sz w:val="36"/>
          <w:szCs w:val="36"/>
          <w:lang w:val="en-GB"/>
        </w:rPr>
      </w:pPr>
    </w:p>
    <w:p w:rsidR="00E525C7" w:rsidRDefault="00E525C7" w:rsidP="00E525C7">
      <w:pPr>
        <w:ind w:left="680" w:right="1128"/>
        <w:jc w:val="center"/>
        <w:rPr>
          <w:rFonts w:eastAsia="Calibri"/>
          <w:lang w:val="en-GB"/>
        </w:rPr>
      </w:pPr>
      <w:r>
        <w:rPr>
          <w:noProof/>
          <w:lang w:eastAsia="fr-FR"/>
        </w:rPr>
        <w:lastRenderedPageBreak/>
        <w:drawing>
          <wp:inline distT="0" distB="0" distL="0" distR="0" wp14:anchorId="5BD24A3A" wp14:editId="2D766DBC">
            <wp:extent cx="5057775" cy="2743200"/>
            <wp:effectExtent l="0" t="0" r="9525" b="0"/>
            <wp:docPr id="1804657318" name="Graphique 1">
              <a:extLst xmlns:a="http://schemas.openxmlformats.org/drawingml/2006/main">
                <a:ext uri="{FF2B5EF4-FFF2-40B4-BE49-F238E27FC236}">
                  <a16:creationId xmlns:a16="http://schemas.microsoft.com/office/drawing/2014/main" id="{77EFB8E7-D893-457B-AE3D-CBC4102362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heme="majorBidi" w:eastAsia="Calibri" w:hAnsiTheme="majorBidi" w:cstheme="majorBidi"/>
          <w:sz w:val="36"/>
          <w:szCs w:val="36"/>
          <w:lang w:val="en-GB"/>
        </w:rPr>
        <w:br/>
      </w:r>
      <w:r w:rsidRPr="003E3730">
        <w:rPr>
          <w:rFonts w:asciiTheme="majorBidi" w:eastAsia="Calibri" w:hAnsiTheme="majorBidi" w:cstheme="majorBidi"/>
          <w:b/>
          <w:bCs/>
          <w:lang w:val="en-GB"/>
        </w:rPr>
        <w:t>Figure</w:t>
      </w:r>
      <w:r w:rsidR="00803E7C">
        <w:rPr>
          <w:rFonts w:asciiTheme="majorBidi" w:eastAsia="Calibri" w:hAnsiTheme="majorBidi" w:cstheme="majorBidi"/>
          <w:b/>
          <w:bCs/>
          <w:lang w:val="en-GB"/>
        </w:rPr>
        <w:t xml:space="preserve"> 3</w:t>
      </w:r>
      <w:r w:rsidRPr="003E3730">
        <w:rPr>
          <w:rFonts w:asciiTheme="majorBidi" w:eastAsia="Calibri" w:hAnsiTheme="majorBidi" w:cstheme="majorBidi"/>
          <w:lang w:val="en-GB"/>
        </w:rPr>
        <w:t>. The interest of use the plant by the informants</w:t>
      </w:r>
    </w:p>
    <w:p w:rsidR="00E525C7" w:rsidRPr="00E14EC8" w:rsidRDefault="00E525C7" w:rsidP="00E525C7">
      <w:pPr>
        <w:ind w:left="680" w:right="1128"/>
        <w:jc w:val="both"/>
        <w:rPr>
          <w:rFonts w:eastAsia="Calibri"/>
          <w:sz w:val="36"/>
          <w:szCs w:val="36"/>
          <w:lang w:val="en-GB"/>
        </w:rPr>
      </w:pPr>
    </w:p>
    <w:p w:rsidR="00F466B7" w:rsidRPr="00803E7C" w:rsidRDefault="00F466B7" w:rsidP="00F466B7">
      <w:pPr>
        <w:ind w:left="680" w:right="1128"/>
        <w:rPr>
          <w:rFonts w:eastAsia="Calibri"/>
          <w:b/>
          <w:bCs/>
          <w:lang w:val="en-GB"/>
        </w:rPr>
      </w:pPr>
      <w:r w:rsidRPr="00803E7C">
        <w:rPr>
          <w:rFonts w:asciiTheme="majorBidi" w:eastAsia="Calibri" w:hAnsiTheme="majorBidi" w:cstheme="majorBidi"/>
          <w:b/>
          <w:bCs/>
          <w:lang w:val="en-GB"/>
        </w:rPr>
        <w:t>2</w:t>
      </w:r>
      <w:r w:rsidRPr="00803E7C">
        <w:rPr>
          <w:rFonts w:asciiTheme="majorBidi" w:eastAsia="Calibri" w:hAnsiTheme="majorBidi" w:cstheme="majorBidi"/>
          <w:b/>
          <w:bCs/>
          <w:lang w:val="en-GB"/>
        </w:rPr>
        <w:t>- Study of peripheral analgesic activity</w:t>
      </w:r>
    </w:p>
    <w:p w:rsidR="00F466B7" w:rsidRPr="00FF68CA" w:rsidRDefault="00F466B7" w:rsidP="00F466B7">
      <w:pPr>
        <w:ind w:left="680" w:right="1128"/>
        <w:rPr>
          <w:rFonts w:eastAsia="Calibri"/>
          <w:lang w:val="en-GB"/>
        </w:rPr>
      </w:pPr>
      <w:r w:rsidRPr="00FF68CA">
        <w:rPr>
          <w:rFonts w:asciiTheme="majorBidi" w:eastAsia="Calibri" w:hAnsiTheme="majorBidi" w:cstheme="majorBidi"/>
          <w:lang w:val="en-GB"/>
        </w:rPr>
        <w:t>▪ Koster's test (abdominal constriction)</w:t>
      </w:r>
    </w:p>
    <w:p w:rsidR="00F466B7" w:rsidRDefault="00F466B7" w:rsidP="00F466B7">
      <w:pPr>
        <w:ind w:left="680" w:right="1128"/>
        <w:jc w:val="both"/>
        <w:rPr>
          <w:rFonts w:eastAsia="Calibri"/>
          <w:lang w:val="en-GB"/>
        </w:rPr>
      </w:pPr>
      <w:r w:rsidRPr="00FF68CA">
        <w:rPr>
          <w:rFonts w:asciiTheme="majorBidi" w:eastAsia="Calibri" w:hAnsiTheme="majorBidi" w:cstheme="majorBidi"/>
          <w:lang w:val="en-GB"/>
        </w:rPr>
        <w:t xml:space="preserve">We recall that this activity is evaluated from the abdominal constructions of the rats. The results of this test which result in the number of constructions are mentioned in (Table </w:t>
      </w:r>
      <w:r>
        <w:rPr>
          <w:rFonts w:asciiTheme="majorBidi" w:eastAsia="Calibri" w:hAnsiTheme="majorBidi" w:cstheme="majorBidi"/>
          <w:lang w:val="en-GB"/>
        </w:rPr>
        <w:t>2</w:t>
      </w:r>
      <w:r w:rsidRPr="00FF68CA">
        <w:rPr>
          <w:rFonts w:asciiTheme="majorBidi" w:eastAsia="Calibri" w:hAnsiTheme="majorBidi" w:cstheme="majorBidi"/>
          <w:lang w:val="en-GB"/>
        </w:rPr>
        <w:t>) below:</w:t>
      </w:r>
    </w:p>
    <w:p w:rsidR="00F466B7" w:rsidRDefault="00F466B7" w:rsidP="00F466B7">
      <w:pPr>
        <w:ind w:right="1128"/>
        <w:jc w:val="both"/>
        <w:rPr>
          <w:rFonts w:eastAsia="Calibri"/>
          <w:lang w:val="en-GB"/>
        </w:rPr>
      </w:pPr>
    </w:p>
    <w:p w:rsidR="00F466B7" w:rsidRDefault="00F466B7" w:rsidP="00F466B7">
      <w:pPr>
        <w:ind w:left="680" w:right="1128"/>
        <w:jc w:val="both"/>
        <w:rPr>
          <w:rFonts w:eastAsia="Calibri"/>
          <w:lang w:val="en-GB"/>
        </w:rPr>
      </w:pPr>
      <w:r w:rsidRPr="002D5BB0">
        <w:rPr>
          <w:rFonts w:asciiTheme="majorBidi" w:eastAsia="Calibri" w:hAnsiTheme="majorBidi" w:cstheme="majorBidi"/>
          <w:b/>
          <w:bCs/>
          <w:lang w:val="en-GB"/>
        </w:rPr>
        <w:t>Tab</w:t>
      </w:r>
      <w:r w:rsidR="00803E7C">
        <w:rPr>
          <w:rFonts w:asciiTheme="majorBidi" w:eastAsia="Calibri" w:hAnsiTheme="majorBidi" w:cstheme="majorBidi"/>
          <w:b/>
          <w:bCs/>
          <w:lang w:val="en-GB"/>
        </w:rPr>
        <w:t>le</w:t>
      </w:r>
      <w:r>
        <w:rPr>
          <w:rFonts w:asciiTheme="majorBidi" w:eastAsia="Calibri" w:hAnsiTheme="majorBidi" w:cstheme="majorBidi"/>
          <w:b/>
          <w:bCs/>
          <w:lang w:val="en-GB"/>
        </w:rPr>
        <w:t xml:space="preserve"> 2</w:t>
      </w:r>
      <w:r w:rsidRPr="002D5BB0">
        <w:rPr>
          <w:rFonts w:asciiTheme="majorBidi" w:eastAsia="Calibri" w:hAnsiTheme="majorBidi" w:cstheme="majorBidi"/>
          <w:b/>
          <w:bCs/>
          <w:lang w:val="en-GB"/>
        </w:rPr>
        <w:t>.</w:t>
      </w:r>
      <w:r w:rsidRPr="002D5BB0">
        <w:rPr>
          <w:rFonts w:ascii="Calibri" w:eastAsia="Calibri" w:hAnsi="Calibri"/>
          <w:lang w:val="en-GB"/>
        </w:rPr>
        <w:t xml:space="preserve"> </w:t>
      </w:r>
      <w:r w:rsidRPr="002D5BB0">
        <w:rPr>
          <w:rFonts w:asciiTheme="majorBidi" w:eastAsia="Calibri" w:hAnsiTheme="majorBidi" w:cstheme="majorBidi"/>
          <w:lang w:val="en-GB"/>
        </w:rPr>
        <w:t>Test results of koster analgesic effect of paracetamol and the extracts studied</w:t>
      </w:r>
    </w:p>
    <w:tbl>
      <w:tblPr>
        <w:tblStyle w:val="TableauGrille7Couleur"/>
        <w:tblW w:w="0" w:type="auto"/>
        <w:tblInd w:w="658" w:type="dxa"/>
        <w:tblLook w:val="04A0" w:firstRow="1" w:lastRow="0" w:firstColumn="1" w:lastColumn="0" w:noHBand="0" w:noVBand="1"/>
      </w:tblPr>
      <w:tblGrid>
        <w:gridCol w:w="2292"/>
        <w:gridCol w:w="1810"/>
        <w:gridCol w:w="2693"/>
        <w:gridCol w:w="1754"/>
      </w:tblGrid>
      <w:tr w:rsidR="00F466B7" w:rsidTr="00671C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2" w:type="dxa"/>
          </w:tcPr>
          <w:p w:rsidR="00F466B7" w:rsidRPr="002D5BB0" w:rsidRDefault="00F466B7" w:rsidP="00671C8F">
            <w:pPr>
              <w:ind w:right="567"/>
              <w:jc w:val="center"/>
              <w:rPr>
                <w:b w:val="0"/>
                <w:bCs w:val="0"/>
                <w:i w:val="0"/>
                <w:iCs w:val="0"/>
                <w:color w:val="8D2509"/>
                <w:lang w:val="en-GB"/>
              </w:rPr>
            </w:pPr>
            <w:r w:rsidRPr="002D5BB0">
              <w:rPr>
                <w:rFonts w:asciiTheme="majorBidi" w:hAnsiTheme="majorBidi" w:cstheme="majorBidi"/>
                <w:color w:val="8D2509"/>
                <w:lang w:val="en-GB"/>
              </w:rPr>
              <w:t>Groups</w:t>
            </w:r>
          </w:p>
        </w:tc>
        <w:tc>
          <w:tcPr>
            <w:tcW w:w="1810" w:type="dxa"/>
          </w:tcPr>
          <w:p w:rsidR="00F466B7" w:rsidRPr="002D5BB0" w:rsidRDefault="00F466B7" w:rsidP="00671C8F">
            <w:pPr>
              <w:ind w:right="567"/>
              <w:jc w:val="center"/>
              <w:cnfStyle w:val="100000000000" w:firstRow="1" w:lastRow="0" w:firstColumn="0" w:lastColumn="0" w:oddVBand="0" w:evenVBand="0" w:oddHBand="0" w:evenHBand="0" w:firstRowFirstColumn="0" w:firstRowLastColumn="0" w:lastRowFirstColumn="0" w:lastRowLastColumn="0"/>
              <w:rPr>
                <w:b w:val="0"/>
                <w:bCs w:val="0"/>
                <w:color w:val="8D2509"/>
                <w:lang w:val="en-GB"/>
              </w:rPr>
            </w:pPr>
            <w:r w:rsidRPr="002D5BB0">
              <w:rPr>
                <w:rFonts w:asciiTheme="majorBidi" w:hAnsiTheme="majorBidi" w:cstheme="majorBidi"/>
                <w:color w:val="8D2509"/>
                <w:lang w:val="en-GB"/>
              </w:rPr>
              <w:t>Doses</w:t>
            </w:r>
          </w:p>
        </w:tc>
        <w:tc>
          <w:tcPr>
            <w:tcW w:w="2693" w:type="dxa"/>
          </w:tcPr>
          <w:p w:rsidR="00F466B7" w:rsidRPr="002D5BB0" w:rsidRDefault="00F466B7" w:rsidP="00671C8F">
            <w:pPr>
              <w:ind w:right="227"/>
              <w:jc w:val="center"/>
              <w:cnfStyle w:val="100000000000" w:firstRow="1" w:lastRow="0" w:firstColumn="0" w:lastColumn="0" w:oddVBand="0" w:evenVBand="0" w:oddHBand="0" w:evenHBand="0" w:firstRowFirstColumn="0" w:firstRowLastColumn="0" w:lastRowFirstColumn="0" w:lastRowLastColumn="0"/>
              <w:rPr>
                <w:b w:val="0"/>
                <w:bCs w:val="0"/>
                <w:color w:val="8D2509"/>
                <w:lang w:val="en-GB"/>
              </w:rPr>
            </w:pPr>
            <w:r w:rsidRPr="002D5BB0">
              <w:rPr>
                <w:rFonts w:asciiTheme="majorBidi" w:hAnsiTheme="majorBidi" w:cstheme="majorBidi"/>
                <w:color w:val="8D2509"/>
                <w:lang w:val="en-GB"/>
              </w:rPr>
              <w:t>Number of constrictions</w:t>
            </w:r>
          </w:p>
        </w:tc>
        <w:tc>
          <w:tcPr>
            <w:tcW w:w="1754" w:type="dxa"/>
          </w:tcPr>
          <w:p w:rsidR="00F466B7" w:rsidRPr="002D5BB0" w:rsidRDefault="00F466B7" w:rsidP="00671C8F">
            <w:pPr>
              <w:ind w:right="510"/>
              <w:jc w:val="center"/>
              <w:cnfStyle w:val="100000000000" w:firstRow="1" w:lastRow="0" w:firstColumn="0" w:lastColumn="0" w:oddVBand="0" w:evenVBand="0" w:oddHBand="0" w:evenHBand="0" w:firstRowFirstColumn="0" w:firstRowLastColumn="0" w:lastRowFirstColumn="0" w:lastRowLastColumn="0"/>
              <w:rPr>
                <w:b w:val="0"/>
                <w:bCs w:val="0"/>
                <w:color w:val="8D2509"/>
                <w:lang w:val="en-GB"/>
              </w:rPr>
            </w:pPr>
            <w:r w:rsidRPr="002D5BB0">
              <w:rPr>
                <w:rFonts w:asciiTheme="majorBidi" w:hAnsiTheme="majorBidi" w:cstheme="majorBidi"/>
                <w:color w:val="8D2509"/>
                <w:lang w:val="en-GB"/>
              </w:rPr>
              <w:t>% Inhibition</w:t>
            </w:r>
          </w:p>
        </w:tc>
      </w:tr>
      <w:tr w:rsidR="00F466B7" w:rsidTr="00671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rsidR="00F466B7" w:rsidRPr="002D5BB0" w:rsidRDefault="00F466B7" w:rsidP="00671C8F">
            <w:pPr>
              <w:ind w:right="567"/>
              <w:jc w:val="center"/>
              <w:rPr>
                <w:b/>
                <w:bCs/>
                <w:i w:val="0"/>
                <w:iCs w:val="0"/>
                <w:color w:val="8D2509"/>
                <w:lang w:val="en-GB"/>
              </w:rPr>
            </w:pPr>
            <w:r>
              <w:rPr>
                <w:rFonts w:asciiTheme="majorBidi" w:hAnsiTheme="majorBidi" w:cstheme="majorBidi"/>
                <w:b/>
                <w:bCs/>
                <w:color w:val="8D2509"/>
                <w:lang w:val="en-GB"/>
              </w:rPr>
              <w:t xml:space="preserve">Control </w:t>
            </w:r>
          </w:p>
        </w:tc>
        <w:tc>
          <w:tcPr>
            <w:tcW w:w="1810"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10mg/Kg</w:t>
            </w:r>
          </w:p>
        </w:tc>
        <w:tc>
          <w:tcPr>
            <w:tcW w:w="2693"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46.7±10.0</w:t>
            </w:r>
          </w:p>
        </w:tc>
        <w:tc>
          <w:tcPr>
            <w:tcW w:w="1754"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w:t>
            </w:r>
          </w:p>
        </w:tc>
      </w:tr>
      <w:tr w:rsidR="00F466B7" w:rsidTr="00671C8F">
        <w:tc>
          <w:tcPr>
            <w:cnfStyle w:val="001000000000" w:firstRow="0" w:lastRow="0" w:firstColumn="1" w:lastColumn="0" w:oddVBand="0" w:evenVBand="0" w:oddHBand="0" w:evenHBand="0" w:firstRowFirstColumn="0" w:firstRowLastColumn="0" w:lastRowFirstColumn="0" w:lastRowLastColumn="0"/>
            <w:tcW w:w="2292" w:type="dxa"/>
          </w:tcPr>
          <w:p w:rsidR="00F466B7" w:rsidRPr="002D5BB0" w:rsidRDefault="00F466B7" w:rsidP="00671C8F">
            <w:pPr>
              <w:ind w:right="567"/>
              <w:jc w:val="center"/>
              <w:rPr>
                <w:b/>
                <w:bCs/>
                <w:i w:val="0"/>
                <w:iCs w:val="0"/>
                <w:color w:val="8D2509"/>
                <w:lang w:val="en-GB"/>
              </w:rPr>
            </w:pPr>
            <w:r w:rsidRPr="002D5BB0">
              <w:rPr>
                <w:rFonts w:asciiTheme="majorBidi" w:hAnsiTheme="majorBidi" w:cstheme="majorBidi"/>
                <w:b/>
                <w:bCs/>
                <w:color w:val="8D2509"/>
                <w:lang w:val="en-GB"/>
              </w:rPr>
              <w:t>Paracetamol</w:t>
            </w:r>
          </w:p>
        </w:tc>
        <w:tc>
          <w:tcPr>
            <w:tcW w:w="1810"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100mg/Kg</w:t>
            </w:r>
          </w:p>
        </w:tc>
        <w:tc>
          <w:tcPr>
            <w:tcW w:w="2693"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18.3±1.5</w:t>
            </w:r>
          </w:p>
        </w:tc>
        <w:tc>
          <w:tcPr>
            <w:tcW w:w="1754"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60.81%</w:t>
            </w:r>
          </w:p>
        </w:tc>
      </w:tr>
      <w:tr w:rsidR="00F466B7" w:rsidTr="00671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rsidR="00F466B7" w:rsidRPr="002D5BB0" w:rsidRDefault="00F466B7" w:rsidP="00671C8F">
            <w:pPr>
              <w:ind w:right="567"/>
              <w:jc w:val="center"/>
              <w:rPr>
                <w:b/>
                <w:bCs/>
                <w:i w:val="0"/>
                <w:iCs w:val="0"/>
                <w:color w:val="8D2509"/>
                <w:lang w:val="en-GB"/>
              </w:rPr>
            </w:pPr>
            <w:r w:rsidRPr="002D5BB0">
              <w:rPr>
                <w:rFonts w:asciiTheme="majorBidi" w:hAnsiTheme="majorBidi" w:cstheme="majorBidi"/>
                <w:b/>
                <w:bCs/>
                <w:color w:val="8D2509"/>
                <w:lang w:val="en-GB"/>
              </w:rPr>
              <w:t>White Extract</w:t>
            </w:r>
          </w:p>
        </w:tc>
        <w:tc>
          <w:tcPr>
            <w:tcW w:w="1810"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500mg/Kg</w:t>
            </w:r>
          </w:p>
        </w:tc>
        <w:tc>
          <w:tcPr>
            <w:tcW w:w="2693"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15.5±6.6</w:t>
            </w:r>
          </w:p>
        </w:tc>
        <w:tc>
          <w:tcPr>
            <w:tcW w:w="1754" w:type="dxa"/>
          </w:tcPr>
          <w:p w:rsidR="00F466B7" w:rsidRDefault="00F466B7" w:rsidP="00671C8F">
            <w:pPr>
              <w:ind w:right="567"/>
              <w:jc w:val="center"/>
              <w:cnfStyle w:val="000000100000" w:firstRow="0" w:lastRow="0" w:firstColumn="0" w:lastColumn="0" w:oddVBand="0" w:evenVBand="0" w:oddHBand="1" w:evenHBand="0" w:firstRowFirstColumn="0" w:firstRowLastColumn="0" w:lastRowFirstColumn="0" w:lastRowLastColumn="0"/>
              <w:rPr>
                <w:lang w:val="en-GB"/>
              </w:rPr>
            </w:pPr>
            <w:r>
              <w:rPr>
                <w:rFonts w:asciiTheme="majorBidi" w:hAnsiTheme="majorBidi" w:cstheme="majorBidi"/>
                <w:lang w:val="en-GB"/>
              </w:rPr>
              <w:t>66.80%</w:t>
            </w:r>
          </w:p>
        </w:tc>
      </w:tr>
      <w:tr w:rsidR="00F466B7" w:rsidTr="00671C8F">
        <w:tc>
          <w:tcPr>
            <w:cnfStyle w:val="001000000000" w:firstRow="0" w:lastRow="0" w:firstColumn="1" w:lastColumn="0" w:oddVBand="0" w:evenVBand="0" w:oddHBand="0" w:evenHBand="0" w:firstRowFirstColumn="0" w:firstRowLastColumn="0" w:lastRowFirstColumn="0" w:lastRowLastColumn="0"/>
            <w:tcW w:w="2292" w:type="dxa"/>
          </w:tcPr>
          <w:p w:rsidR="00F466B7" w:rsidRPr="002D5BB0" w:rsidRDefault="00F466B7" w:rsidP="00671C8F">
            <w:pPr>
              <w:ind w:right="567"/>
              <w:jc w:val="center"/>
              <w:rPr>
                <w:b/>
                <w:bCs/>
                <w:i w:val="0"/>
                <w:iCs w:val="0"/>
                <w:color w:val="8D2509"/>
                <w:lang w:val="en-GB"/>
              </w:rPr>
            </w:pPr>
            <w:r w:rsidRPr="002D5BB0">
              <w:rPr>
                <w:rFonts w:asciiTheme="majorBidi" w:hAnsiTheme="majorBidi" w:cstheme="majorBidi"/>
                <w:b/>
                <w:bCs/>
                <w:color w:val="8D2509"/>
                <w:lang w:val="en-GB"/>
              </w:rPr>
              <w:t>Red Extract</w:t>
            </w:r>
          </w:p>
        </w:tc>
        <w:tc>
          <w:tcPr>
            <w:tcW w:w="1810"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500mg/kg</w:t>
            </w:r>
          </w:p>
        </w:tc>
        <w:tc>
          <w:tcPr>
            <w:tcW w:w="2693"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12.3±5.0</w:t>
            </w:r>
          </w:p>
        </w:tc>
        <w:tc>
          <w:tcPr>
            <w:tcW w:w="1754" w:type="dxa"/>
          </w:tcPr>
          <w:p w:rsidR="00F466B7" w:rsidRDefault="00F466B7" w:rsidP="00671C8F">
            <w:pPr>
              <w:ind w:right="567"/>
              <w:jc w:val="center"/>
              <w:cnfStyle w:val="000000000000" w:firstRow="0" w:lastRow="0" w:firstColumn="0" w:lastColumn="0" w:oddVBand="0" w:evenVBand="0" w:oddHBand="0" w:evenHBand="0" w:firstRowFirstColumn="0" w:firstRowLastColumn="0" w:lastRowFirstColumn="0" w:lastRowLastColumn="0"/>
              <w:rPr>
                <w:lang w:val="en-GB"/>
              </w:rPr>
            </w:pPr>
            <w:r>
              <w:rPr>
                <w:rFonts w:asciiTheme="majorBidi" w:hAnsiTheme="majorBidi" w:cstheme="majorBidi"/>
                <w:lang w:val="en-GB"/>
              </w:rPr>
              <w:t>73.66%</w:t>
            </w:r>
          </w:p>
        </w:tc>
      </w:tr>
    </w:tbl>
    <w:p w:rsidR="00F466B7" w:rsidRPr="00383215" w:rsidRDefault="00F466B7" w:rsidP="00F466B7">
      <w:pPr>
        <w:ind w:left="680" w:right="1128"/>
        <w:jc w:val="center"/>
        <w:rPr>
          <w:rFonts w:eastAsia="Calibri"/>
          <w:b/>
          <w:bCs/>
          <w:lang w:val="en-GB"/>
        </w:rPr>
      </w:pPr>
      <w:r w:rsidRPr="00383215">
        <w:rPr>
          <w:rFonts w:asciiTheme="majorBidi" w:eastAsia="Calibri" w:hAnsiTheme="majorBidi" w:cstheme="majorBidi"/>
          <w:b/>
          <w:bCs/>
          <w:lang w:val="en-GB"/>
        </w:rPr>
        <w:t>Values expressed as an average</w:t>
      </w:r>
      <w:r>
        <w:rPr>
          <w:rFonts w:asciiTheme="majorBidi" w:eastAsia="Calibri" w:hAnsiTheme="majorBidi" w:cstheme="majorBidi"/>
          <w:b/>
          <w:bCs/>
          <w:lang w:val="en-GB"/>
        </w:rPr>
        <w:t xml:space="preserve"> </w:t>
      </w:r>
      <w:r w:rsidRPr="00383215">
        <w:rPr>
          <w:rFonts w:asciiTheme="majorBidi" w:eastAsia="Calibri" w:hAnsiTheme="majorBidi" w:cstheme="majorBidi"/>
          <w:b/>
          <w:bCs/>
          <w:lang w:val="en-GB"/>
        </w:rPr>
        <w:t>±</w:t>
      </w:r>
      <w:r>
        <w:rPr>
          <w:rFonts w:asciiTheme="majorBidi" w:eastAsia="Calibri" w:hAnsiTheme="majorBidi" w:cstheme="majorBidi"/>
          <w:b/>
          <w:bCs/>
          <w:lang w:val="en-GB"/>
        </w:rPr>
        <w:t xml:space="preserve"> </w:t>
      </w:r>
      <w:r w:rsidRPr="00383215">
        <w:rPr>
          <w:rFonts w:asciiTheme="majorBidi" w:eastAsia="Calibri" w:hAnsiTheme="majorBidi" w:cstheme="majorBidi"/>
          <w:b/>
          <w:bCs/>
          <w:lang w:val="en-GB"/>
        </w:rPr>
        <w:t>standard deviation. SEM</w:t>
      </w:r>
    </w:p>
    <w:p w:rsidR="00F466B7" w:rsidRDefault="00F466B7" w:rsidP="00F466B7">
      <w:pPr>
        <w:spacing w:line="360" w:lineRule="auto"/>
        <w:ind w:left="680" w:right="1128" w:firstLine="28"/>
        <w:jc w:val="both"/>
        <w:rPr>
          <w:rFonts w:eastAsia="Calibri"/>
          <w:lang w:val="en-GB"/>
        </w:rPr>
      </w:pPr>
    </w:p>
    <w:p w:rsidR="00F466B7" w:rsidRPr="00336DA7" w:rsidRDefault="00F466B7" w:rsidP="00F466B7">
      <w:pPr>
        <w:spacing w:line="360" w:lineRule="auto"/>
        <w:ind w:left="708" w:right="1128" w:firstLine="28"/>
        <w:jc w:val="both"/>
        <w:rPr>
          <w:rFonts w:eastAsia="Calibri"/>
          <w:lang w:val="en-GB"/>
        </w:rPr>
      </w:pPr>
      <w:r>
        <w:rPr>
          <w:rFonts w:asciiTheme="majorBidi" w:eastAsia="Calibri" w:hAnsiTheme="majorBidi" w:cstheme="majorBidi"/>
          <w:lang w:val="en-GB"/>
        </w:rPr>
        <w:t xml:space="preserve">        </w:t>
      </w:r>
      <w:r w:rsidRPr="00336DA7">
        <w:rPr>
          <w:rFonts w:asciiTheme="majorBidi" w:eastAsia="Calibri" w:hAnsiTheme="majorBidi" w:cstheme="majorBidi"/>
          <w:lang w:val="en-GB"/>
        </w:rPr>
        <w:t>Abdominal contractions induced by injection of acetic acid were used to evaluate the peripheral analgesic effect of pana</w:t>
      </w:r>
      <w:r>
        <w:rPr>
          <w:rFonts w:asciiTheme="majorBidi" w:eastAsia="Calibri" w:hAnsiTheme="majorBidi" w:cstheme="majorBidi"/>
          <w:lang w:val="en-GB"/>
        </w:rPr>
        <w:t>x</w:t>
      </w:r>
      <w:r w:rsidRPr="00336DA7">
        <w:rPr>
          <w:rFonts w:asciiTheme="majorBidi" w:eastAsia="Calibri" w:hAnsiTheme="majorBidi" w:cstheme="majorBidi"/>
          <w:lang w:val="en-GB"/>
        </w:rPr>
        <w:t xml:space="preserve"> ginseng extracts.</w:t>
      </w:r>
    </w:p>
    <w:p w:rsidR="00F466B7" w:rsidRPr="00336DA7" w:rsidRDefault="00F466B7" w:rsidP="00F466B7">
      <w:pPr>
        <w:spacing w:line="360" w:lineRule="auto"/>
        <w:ind w:left="680" w:right="1128" w:firstLine="709"/>
        <w:jc w:val="both"/>
        <w:rPr>
          <w:rFonts w:eastAsia="Calibri"/>
          <w:lang w:val="en-GB"/>
        </w:rPr>
      </w:pPr>
      <w:r w:rsidRPr="00336DA7">
        <w:rPr>
          <w:rFonts w:asciiTheme="majorBidi" w:eastAsia="Calibri" w:hAnsiTheme="majorBidi" w:cstheme="majorBidi"/>
          <w:lang w:val="en-GB"/>
        </w:rPr>
        <w:t>We report that the mechanism of pain onset results from a tissue lesion responsible for an increase in the release of many chemical mediators such as: histamine, prostaglandin and serotonin, in the intraperitoneal fluid, which stimulate nociceptive receptors l</w:t>
      </w:r>
      <w:r w:rsidR="00E20473">
        <w:rPr>
          <w:rFonts w:asciiTheme="majorBidi" w:eastAsia="Calibri" w:hAnsiTheme="majorBidi" w:cstheme="majorBidi"/>
          <w:lang w:val="en-GB"/>
        </w:rPr>
        <w:t>ocated at the peritoneal level</w:t>
      </w:r>
      <w:r w:rsidRPr="00336DA7">
        <w:rPr>
          <w:rFonts w:asciiTheme="majorBidi" w:eastAsia="Calibri" w:hAnsiTheme="majorBidi" w:cstheme="majorBidi"/>
          <w:lang w:val="en-GB"/>
        </w:rPr>
        <w:t>. In rats, the pain is manifested in the form of abdominal cramps (writhing).</w:t>
      </w:r>
    </w:p>
    <w:p w:rsidR="00F466B7" w:rsidRPr="00336DA7" w:rsidRDefault="00F466B7" w:rsidP="00F466B7">
      <w:pPr>
        <w:spacing w:line="360" w:lineRule="auto"/>
        <w:ind w:left="680" w:right="1128" w:firstLine="709"/>
        <w:jc w:val="both"/>
        <w:rPr>
          <w:rFonts w:eastAsia="Calibri"/>
          <w:lang w:val="en-GB"/>
        </w:rPr>
      </w:pPr>
      <w:r w:rsidRPr="00336DA7">
        <w:rPr>
          <w:rFonts w:asciiTheme="majorBidi" w:eastAsia="Calibri" w:hAnsiTheme="majorBidi" w:cstheme="majorBidi"/>
          <w:lang w:val="en-GB"/>
        </w:rPr>
        <w:t>According to the results obtained, it can be seen that acetic acid induces an average of 46.7 ± 10.0 cramps recorded after 10 minutes in the control group. These cramps occurring under the effect of acetic acid, involve the action of peritoneal receptors</w:t>
      </w:r>
    </w:p>
    <w:p w:rsidR="00F466B7" w:rsidRDefault="00F466B7" w:rsidP="00F466B7">
      <w:pPr>
        <w:spacing w:line="360" w:lineRule="auto"/>
        <w:ind w:left="680" w:right="1128" w:firstLine="709"/>
        <w:jc w:val="both"/>
        <w:rPr>
          <w:rFonts w:eastAsia="Calibri"/>
          <w:lang w:val="en-GB"/>
        </w:rPr>
      </w:pPr>
      <w:r w:rsidRPr="00336DA7">
        <w:rPr>
          <w:rFonts w:asciiTheme="majorBidi" w:eastAsia="Calibri" w:hAnsiTheme="majorBidi" w:cstheme="majorBidi"/>
          <w:lang w:val="en-GB"/>
        </w:rPr>
        <w:t xml:space="preserve">local and are accompanied by pain due to the release of serotonin, histamine, bradykinin, substance P, prostaglandins (PGE2α, PGF2α) and cytokines (TNF-α, IL-1β, IL- 8) (Bentley, 1983; </w:t>
      </w:r>
      <w:r w:rsidRPr="00336DA7">
        <w:rPr>
          <w:rFonts w:asciiTheme="majorBidi" w:eastAsia="Calibri" w:hAnsiTheme="majorBidi" w:cstheme="majorBidi"/>
          <w:lang w:val="en-GB"/>
        </w:rPr>
        <w:lastRenderedPageBreak/>
        <w:t>Negus, 2006). These chemical mediators stimulate peripheral nociceptive neurons and induce an increase in vascular permeability, c</w:t>
      </w:r>
      <w:r w:rsidR="005229AC">
        <w:rPr>
          <w:rFonts w:asciiTheme="majorBidi" w:eastAsia="Calibri" w:hAnsiTheme="majorBidi" w:cstheme="majorBidi"/>
          <w:lang w:val="en-GB"/>
        </w:rPr>
        <w:t>a</w:t>
      </w:r>
      <w:r w:rsidR="00824C23">
        <w:rPr>
          <w:rFonts w:asciiTheme="majorBidi" w:eastAsia="Calibri" w:hAnsiTheme="majorBidi" w:cstheme="majorBidi"/>
          <w:lang w:val="en-GB"/>
        </w:rPr>
        <w:t xml:space="preserve">using pain in our treated rats </w:t>
      </w:r>
      <w:r w:rsidR="005229AC">
        <w:rPr>
          <w:rFonts w:ascii="Calibri" w:eastAsia="Calibri" w:hAnsi="Calibri"/>
          <w:noProof/>
          <w:lang w:val="en-GB"/>
        </w:rPr>
        <w:t>(</w:t>
      </w:r>
      <w:r w:rsidR="00803E7C">
        <w:rPr>
          <w:rFonts w:asciiTheme="majorBidi" w:eastAsia="Calibri" w:hAnsiTheme="majorBidi" w:cstheme="majorBidi"/>
          <w:b/>
          <w:bCs/>
          <w:lang w:val="en-GB"/>
        </w:rPr>
        <w:t>Figure 4</w:t>
      </w:r>
      <w:r w:rsidR="005229AC">
        <w:rPr>
          <w:rFonts w:asciiTheme="majorBidi" w:eastAsia="Calibri" w:hAnsiTheme="majorBidi" w:cstheme="majorBidi"/>
          <w:b/>
          <w:bCs/>
          <w:lang w:val="en-GB"/>
        </w:rPr>
        <w:t>).</w:t>
      </w:r>
    </w:p>
    <w:p w:rsidR="005229AC" w:rsidRPr="00336DA7" w:rsidRDefault="005229AC" w:rsidP="005229AC">
      <w:pPr>
        <w:ind w:left="680" w:right="1128"/>
        <w:jc w:val="center"/>
        <w:rPr>
          <w:rFonts w:eastAsia="Calibri"/>
          <w:b/>
          <w:bCs/>
          <w:lang w:val="en-GB"/>
        </w:rPr>
      </w:pPr>
      <w:r>
        <w:rPr>
          <w:noProof/>
          <w:lang w:eastAsia="fr-FR"/>
        </w:rPr>
        <w:drawing>
          <wp:inline distT="0" distB="0" distL="0" distR="0" wp14:anchorId="29929EC7" wp14:editId="78E1FECC">
            <wp:extent cx="4396625" cy="2886364"/>
            <wp:effectExtent l="0" t="0" r="4445" b="9525"/>
            <wp:docPr id="721026823" name="Graphique 19">
              <a:extLst xmlns:a="http://schemas.openxmlformats.org/drawingml/2006/main">
                <a:ext uri="{FF2B5EF4-FFF2-40B4-BE49-F238E27FC236}">
                  <a16:creationId xmlns:a16="http://schemas.microsoft.com/office/drawing/2014/main" id="{76B73352-9B2B-9C0F-26FA-73E9C8425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47B2E">
        <w:rPr>
          <w:rFonts w:ascii="Calibri" w:eastAsia="Calibri" w:hAnsi="Calibri"/>
          <w:noProof/>
          <w:lang w:val="en-GB"/>
        </w:rPr>
        <w:t xml:space="preserve"> </w:t>
      </w:r>
      <w:r>
        <w:rPr>
          <w:rFonts w:asciiTheme="majorBidi" w:eastAsia="Calibri" w:hAnsiTheme="majorBidi" w:cstheme="majorBidi"/>
          <w:lang w:val="en-GB"/>
        </w:rPr>
        <w:br/>
      </w:r>
      <w:r w:rsidR="00803E7C">
        <w:rPr>
          <w:rFonts w:asciiTheme="majorBidi" w:eastAsia="Calibri" w:hAnsiTheme="majorBidi" w:cstheme="majorBidi"/>
          <w:b/>
          <w:bCs/>
          <w:lang w:val="en-GB"/>
        </w:rPr>
        <w:t>Figure 4</w:t>
      </w:r>
      <w:r w:rsidRPr="00336DA7">
        <w:rPr>
          <w:rFonts w:asciiTheme="majorBidi" w:eastAsia="Calibri" w:hAnsiTheme="majorBidi" w:cstheme="majorBidi"/>
          <w:b/>
          <w:bCs/>
          <w:lang w:val="en-GB"/>
        </w:rPr>
        <w:t>.</w:t>
      </w:r>
      <w:r w:rsidRPr="00336DA7">
        <w:rPr>
          <w:rFonts w:ascii="Calibri" w:eastAsia="Calibri" w:hAnsi="Calibri"/>
          <w:b/>
          <w:bCs/>
          <w:sz w:val="20"/>
          <w:szCs w:val="20"/>
          <w:lang w:val="en-GB"/>
        </w:rPr>
        <w:t xml:space="preserve"> </w:t>
      </w:r>
      <w:r w:rsidRPr="00336DA7">
        <w:rPr>
          <w:rFonts w:asciiTheme="majorBidi" w:eastAsia="Calibri" w:hAnsiTheme="majorBidi" w:cstheme="majorBidi"/>
          <w:b/>
          <w:bCs/>
          <w:lang w:val="en-GB"/>
        </w:rPr>
        <w:t>Analgesic effect of panax ginseng extracts by injection of acetic acid.</w:t>
      </w:r>
    </w:p>
    <w:p w:rsidR="00E525C7" w:rsidRDefault="005229AC" w:rsidP="005229AC">
      <w:pPr>
        <w:ind w:left="680" w:right="1128"/>
        <w:jc w:val="center"/>
        <w:rPr>
          <w:rFonts w:eastAsia="Calibri"/>
          <w:b/>
          <w:bCs/>
          <w:lang w:val="en-GB"/>
        </w:rPr>
      </w:pPr>
      <w:r w:rsidRPr="00336DA7">
        <w:rPr>
          <w:rFonts w:asciiTheme="majorBidi" w:eastAsia="Calibri" w:hAnsiTheme="majorBidi" w:cstheme="majorBidi"/>
          <w:b/>
          <w:bCs/>
          <w:lang w:val="en-GB"/>
        </w:rPr>
        <w:t>Bars with different letters are significantly different (p&lt;0.05).</w:t>
      </w:r>
    </w:p>
    <w:p w:rsidR="005229AC" w:rsidRPr="005229AC" w:rsidRDefault="005229AC" w:rsidP="005229AC">
      <w:pPr>
        <w:ind w:left="680" w:right="1128"/>
        <w:jc w:val="center"/>
        <w:rPr>
          <w:rFonts w:eastAsia="Calibri"/>
          <w:b/>
          <w:bCs/>
          <w:lang w:val="en-GB"/>
        </w:rPr>
      </w:pPr>
    </w:p>
    <w:p w:rsidR="005229AC" w:rsidRPr="00D0428B" w:rsidRDefault="005229AC" w:rsidP="005229AC">
      <w:pPr>
        <w:spacing w:line="360" w:lineRule="auto"/>
        <w:ind w:left="680" w:right="1128" w:firstLine="709"/>
        <w:jc w:val="both"/>
        <w:rPr>
          <w:rFonts w:eastAsia="Calibri"/>
          <w:lang w:val="en-GB"/>
        </w:rPr>
      </w:pPr>
      <w:r w:rsidRPr="00D0428B">
        <w:rPr>
          <w:rFonts w:asciiTheme="majorBidi" w:eastAsia="Calibri" w:hAnsiTheme="majorBidi" w:cstheme="majorBidi"/>
          <w:lang w:val="en-GB"/>
        </w:rPr>
        <w:t>Our results show that the administration of the aqueous extract at a dose of 500mg / kg BW inhibits abdominal contractions with a satisfactory rate but, less important compared to the hydroalcoholic extract inhibits in a highly significant p&lt;0.001 abdominal contractions compared to the batch witness on the one hand and even compared to paracetamol.</w:t>
      </w:r>
    </w:p>
    <w:p w:rsidR="005229AC" w:rsidRPr="00D0428B" w:rsidRDefault="005229AC" w:rsidP="005229AC">
      <w:pPr>
        <w:spacing w:line="360" w:lineRule="auto"/>
        <w:ind w:left="680" w:right="1128" w:firstLine="709"/>
        <w:jc w:val="both"/>
        <w:rPr>
          <w:rFonts w:eastAsia="Calibri"/>
          <w:lang w:val="en-GB"/>
        </w:rPr>
      </w:pPr>
      <w:r w:rsidRPr="00D0428B">
        <w:rPr>
          <w:rFonts w:asciiTheme="majorBidi" w:eastAsia="Calibri" w:hAnsiTheme="majorBidi" w:cstheme="majorBidi"/>
          <w:lang w:val="en-GB"/>
        </w:rPr>
        <w:t>Panax ginseng is a species rich in natural compounds including flavonoids</w:t>
      </w:r>
      <w:r>
        <w:rPr>
          <w:rFonts w:asciiTheme="majorBidi" w:eastAsia="Calibri" w:hAnsiTheme="majorBidi" w:cstheme="majorBidi"/>
          <w:lang w:val="en-GB"/>
        </w:rPr>
        <w:t xml:space="preserve"> </w:t>
      </w:r>
      <w:r w:rsidRPr="00D0428B">
        <w:rPr>
          <w:rFonts w:asciiTheme="majorBidi" w:eastAsia="Calibri" w:hAnsiTheme="majorBidi" w:cstheme="majorBidi"/>
          <w:lang w:val="en-GB"/>
        </w:rPr>
        <w:t>and Saponosides these compounds are therefore very likely and with others, responsible for inhibiting the release of chemical mediators responsible for the appearance of the painful symptom</w:t>
      </w:r>
    </w:p>
    <w:p w:rsidR="005229AC" w:rsidRPr="000365DF" w:rsidRDefault="005229AC" w:rsidP="005229AC">
      <w:pPr>
        <w:spacing w:line="360" w:lineRule="auto"/>
        <w:ind w:left="680" w:right="1128" w:firstLine="709"/>
        <w:jc w:val="both"/>
        <w:rPr>
          <w:rFonts w:eastAsia="Calibri"/>
          <w:lang w:val="en-GB"/>
        </w:rPr>
      </w:pPr>
      <w:r w:rsidRPr="00D0428B">
        <w:rPr>
          <w:rFonts w:asciiTheme="majorBidi" w:eastAsia="Calibri" w:hAnsiTheme="majorBidi" w:cstheme="majorBidi"/>
          <w:lang w:val="en-GB"/>
        </w:rPr>
        <w:t>The results obtained also indicate that the administration of the white and red extracts at a dose of 500mg/kg reduced abdominal contractions in a dose-dependent and significant manner p &lt; 0.05, at a rate of (15.5±6.6) and (12.3± 5.00) respectively compared to the control group, with an inhibition rate of 66.8% and 73.66% after 10 minutes of the injection of acetic acid. The extracts also reveal a significant effect, compared to the reference batch, treated with paracetamol, at a dose of 100mg/Kg. CP which is (18.30±1.5).</w:t>
      </w:r>
    </w:p>
    <w:p w:rsidR="00E525C7" w:rsidRDefault="005229AC" w:rsidP="00E525C7">
      <w:pPr>
        <w:ind w:left="680" w:right="1128"/>
        <w:jc w:val="both"/>
        <w:rPr>
          <w:rFonts w:eastAsia="Calibri"/>
          <w:sz w:val="36"/>
          <w:szCs w:val="36"/>
          <w:lang w:val="en-GB"/>
        </w:rPr>
      </w:pPr>
      <w:r>
        <w:rPr>
          <w:rFonts w:eastAsia="Calibri"/>
          <w:sz w:val="36"/>
          <w:szCs w:val="36"/>
          <w:lang w:val="en-GB"/>
        </w:rPr>
        <w:t>Discussion</w:t>
      </w:r>
    </w:p>
    <w:p w:rsidR="005229AC" w:rsidRDefault="005229AC" w:rsidP="00E20473">
      <w:pPr>
        <w:spacing w:line="360" w:lineRule="auto"/>
        <w:ind w:left="567" w:right="851" w:firstLine="709"/>
        <w:jc w:val="both"/>
        <w:rPr>
          <w:rFonts w:eastAsia="Calibri"/>
          <w:lang w:val="en-GB" w:bidi="ar-DZ"/>
        </w:rPr>
      </w:pPr>
      <w:r w:rsidRPr="00467DD7">
        <w:rPr>
          <w:rFonts w:asciiTheme="majorBidi" w:hAnsiTheme="majorBidi" w:cstheme="majorBidi"/>
          <w:lang w:val="en-GB" w:bidi="ar-DZ"/>
        </w:rPr>
        <w:t>Panax ginseng is one of the most well-known herbal health tonics worldwide. The drug is traditionally believed to strengthen general</w:t>
      </w:r>
      <w:r w:rsidR="00E20473">
        <w:rPr>
          <w:rFonts w:asciiTheme="majorBidi" w:hAnsiTheme="majorBidi" w:cstheme="majorBidi"/>
          <w:lang w:val="en-GB" w:bidi="ar-DZ"/>
        </w:rPr>
        <w:t xml:space="preserve"> health and boost vital energy</w:t>
      </w:r>
      <w:r w:rsidRPr="00467DD7">
        <w:rPr>
          <w:rFonts w:asciiTheme="majorBidi" w:hAnsiTheme="majorBidi" w:cstheme="majorBidi"/>
          <w:lang w:val="en-GB" w:bidi="ar-DZ"/>
        </w:rPr>
        <w:t>. Several animal and clinical studies have provide scientific evidence for various health benefits of P. ginseng, including im</w:t>
      </w:r>
      <w:r>
        <w:rPr>
          <w:rFonts w:asciiTheme="majorBidi" w:hAnsiTheme="majorBidi" w:cstheme="majorBidi"/>
          <w:lang w:val="en-GB" w:bidi="ar-DZ"/>
        </w:rPr>
        <w:t>m</w:t>
      </w:r>
      <w:r w:rsidR="00E20473">
        <w:rPr>
          <w:rFonts w:asciiTheme="majorBidi" w:hAnsiTheme="majorBidi" w:cstheme="majorBidi"/>
          <w:lang w:val="en-GB" w:bidi="ar-DZ"/>
        </w:rPr>
        <w:t>unomodulation, increased cognitive function, reductions in fatigue and biological stress, improved glucose metabolism</w:t>
      </w:r>
      <w:r w:rsidRPr="00467DD7">
        <w:rPr>
          <w:rFonts w:asciiTheme="majorBidi" w:hAnsiTheme="majorBidi" w:cstheme="majorBidi"/>
          <w:lang w:val="en-GB" w:bidi="ar-DZ"/>
        </w:rPr>
        <w:t>and sexual function and cancer prevention (</w:t>
      </w:r>
      <w:r w:rsidRPr="007F00B3">
        <w:rPr>
          <w:rFonts w:asciiTheme="majorBidi" w:hAnsiTheme="majorBidi" w:cstheme="majorBidi"/>
          <w:b/>
          <w:bCs/>
          <w:lang w:val="en-GB" w:bidi="ar-DZ"/>
        </w:rPr>
        <w:t xml:space="preserve">Yun </w:t>
      </w:r>
      <w:r w:rsidRPr="007F00B3">
        <w:rPr>
          <w:rFonts w:asciiTheme="majorBidi" w:hAnsiTheme="majorBidi" w:cstheme="majorBidi"/>
          <w:b/>
          <w:bCs/>
          <w:i/>
          <w:iCs/>
          <w:lang w:val="en-GB" w:bidi="ar-DZ"/>
        </w:rPr>
        <w:t>et al</w:t>
      </w:r>
      <w:r w:rsidRPr="007F00B3">
        <w:rPr>
          <w:rFonts w:asciiTheme="majorBidi" w:hAnsiTheme="majorBidi" w:cstheme="majorBidi"/>
          <w:b/>
          <w:bCs/>
          <w:lang w:val="en-GB" w:bidi="ar-DZ"/>
        </w:rPr>
        <w:t>, 2010</w:t>
      </w:r>
      <w:r w:rsidRPr="00467DD7">
        <w:rPr>
          <w:rFonts w:asciiTheme="majorBidi" w:hAnsiTheme="majorBidi" w:cstheme="majorBidi"/>
          <w:lang w:val="en-GB" w:bidi="ar-DZ"/>
        </w:rPr>
        <w:t xml:space="preserve">). This study was </w:t>
      </w:r>
      <w:r w:rsidRPr="00467DD7">
        <w:rPr>
          <w:rFonts w:asciiTheme="majorBidi" w:hAnsiTheme="majorBidi" w:cstheme="majorBidi"/>
          <w:lang w:val="en-GB" w:bidi="ar-DZ"/>
        </w:rPr>
        <w:lastRenderedPageBreak/>
        <w:t>designed to obtain clinical evidence explaining the mechanism underlying the pharmaceutical benefits of P. ginseng</w:t>
      </w:r>
      <w:r>
        <w:rPr>
          <w:rFonts w:asciiTheme="majorBidi" w:hAnsiTheme="majorBidi" w:cstheme="majorBidi"/>
          <w:lang w:val="en-GB" w:bidi="ar-DZ"/>
        </w:rPr>
        <w:t>.</w:t>
      </w:r>
    </w:p>
    <w:p w:rsidR="005229AC" w:rsidRDefault="005229AC" w:rsidP="00E20473">
      <w:pPr>
        <w:spacing w:line="360" w:lineRule="auto"/>
        <w:ind w:left="567" w:right="850"/>
        <w:jc w:val="both"/>
        <w:rPr>
          <w:rFonts w:eastAsia="Calibri"/>
          <w:lang w:val="en-GB" w:bidi="ar-DZ"/>
        </w:rPr>
      </w:pPr>
      <w:r w:rsidRPr="002938C8">
        <w:rPr>
          <w:rFonts w:asciiTheme="majorBidi" w:hAnsiTheme="majorBidi" w:cstheme="majorBidi"/>
          <w:lang w:val="en-GB" w:bidi="ar-DZ"/>
        </w:rPr>
        <w:t>The survey on the use of ginseng made it possible to know that the population obtains ginseng from species contained in packed boxes</w:t>
      </w:r>
      <w:r>
        <w:rPr>
          <w:rFonts w:asciiTheme="majorBidi" w:hAnsiTheme="majorBidi" w:cstheme="majorBidi"/>
          <w:lang w:val="en-GB" w:bidi="ar-DZ"/>
        </w:rPr>
        <w:t xml:space="preserve">, </w:t>
      </w:r>
      <w:r w:rsidRPr="002938C8">
        <w:rPr>
          <w:rFonts w:asciiTheme="majorBidi" w:hAnsiTheme="majorBidi" w:cstheme="majorBidi"/>
          <w:lang w:val="en-GB" w:bidi="ar-DZ"/>
        </w:rPr>
        <w:t xml:space="preserve">with a slightly expensive price and then generally stored away from light, it is also used as a remedy by </w:t>
      </w:r>
      <w:r>
        <w:rPr>
          <w:rFonts w:asciiTheme="majorBidi" w:hAnsiTheme="majorBidi" w:cstheme="majorBidi"/>
          <w:lang w:val="en-GB" w:bidi="ar-DZ"/>
        </w:rPr>
        <w:t>d</w:t>
      </w:r>
      <w:r w:rsidRPr="002938C8">
        <w:rPr>
          <w:rFonts w:asciiTheme="majorBidi" w:hAnsiTheme="majorBidi" w:cstheme="majorBidi"/>
          <w:lang w:val="en-GB" w:bidi="ar-DZ"/>
        </w:rPr>
        <w:t>ecoction, in order to treat several pathologies and more frequently cardiovascular, infectious pathologies and pathologies such as Diabetes and Infertility</w:t>
      </w:r>
      <w:r>
        <w:rPr>
          <w:rFonts w:asciiTheme="majorBidi" w:hAnsiTheme="majorBidi" w:cstheme="majorBidi"/>
          <w:lang w:val="en-GB" w:bidi="ar-DZ"/>
        </w:rPr>
        <w:t xml:space="preserve">, </w:t>
      </w:r>
      <w:r w:rsidRPr="002938C8">
        <w:rPr>
          <w:rFonts w:asciiTheme="majorBidi" w:hAnsiTheme="majorBidi" w:cstheme="majorBidi"/>
          <w:lang w:val="en-GB" w:bidi="ar-DZ"/>
        </w:rPr>
        <w:t>it is also used for well-being</w:t>
      </w:r>
      <w:r>
        <w:rPr>
          <w:rFonts w:asciiTheme="majorBidi" w:hAnsiTheme="majorBidi" w:cstheme="majorBidi"/>
          <w:lang w:val="en-GB" w:bidi="ar-DZ"/>
        </w:rPr>
        <w:t>,</w:t>
      </w:r>
      <w:r w:rsidRPr="00F13992">
        <w:rPr>
          <w:rFonts w:cs="Arial"/>
          <w:lang w:val="en-GB"/>
        </w:rPr>
        <w:t xml:space="preserve"> </w:t>
      </w:r>
      <w:r w:rsidRPr="0020095C">
        <w:rPr>
          <w:rFonts w:asciiTheme="majorBidi" w:hAnsiTheme="majorBidi" w:cstheme="majorBidi"/>
          <w:lang w:val="en-GB" w:bidi="ar-DZ"/>
        </w:rPr>
        <w:t xml:space="preserve">These results are in agreement with </w:t>
      </w:r>
      <w:r w:rsidR="00E20473">
        <w:rPr>
          <w:rFonts w:asciiTheme="majorBidi" w:hAnsiTheme="majorBidi" w:cstheme="majorBidi"/>
          <w:lang w:val="en-GB" w:bidi="ar-DZ"/>
        </w:rPr>
        <w:t>several study</w:t>
      </w:r>
      <w:r w:rsidRPr="00F13992">
        <w:rPr>
          <w:rFonts w:asciiTheme="majorBidi" w:hAnsiTheme="majorBidi" w:cstheme="majorBidi"/>
          <w:b/>
          <w:bCs/>
          <w:lang w:val="en-GB" w:bidi="ar-DZ"/>
        </w:rPr>
        <w:t xml:space="preserve"> </w:t>
      </w:r>
      <w:r w:rsidR="00E20473">
        <w:rPr>
          <w:rFonts w:asciiTheme="majorBidi" w:hAnsiTheme="majorBidi" w:cstheme="majorBidi"/>
          <w:lang w:val="en-GB" w:bidi="ar-DZ"/>
        </w:rPr>
        <w:t>who</w:t>
      </w:r>
      <w:r w:rsidRPr="0020095C">
        <w:rPr>
          <w:rFonts w:asciiTheme="majorBidi" w:hAnsiTheme="majorBidi" w:cstheme="majorBidi"/>
          <w:lang w:val="en-GB" w:bidi="ar-DZ"/>
        </w:rPr>
        <w:t xml:space="preserve"> revealed the therapeutic importance of panax ginseng on certain infectious, cardiovascular and endocrine-metabolic diseases</w:t>
      </w:r>
      <w:r>
        <w:rPr>
          <w:rFonts w:asciiTheme="majorBidi" w:hAnsiTheme="majorBidi" w:cstheme="majorBidi"/>
          <w:lang w:val="en-GB" w:bidi="ar-DZ"/>
        </w:rPr>
        <w:t>.</w:t>
      </w:r>
    </w:p>
    <w:p w:rsidR="005229AC" w:rsidRDefault="005229AC" w:rsidP="00803E7C">
      <w:pPr>
        <w:spacing w:line="360" w:lineRule="auto"/>
        <w:ind w:left="567" w:right="850"/>
        <w:jc w:val="both"/>
        <w:rPr>
          <w:rFonts w:eastAsia="Calibri"/>
          <w:lang w:val="en-GB" w:bidi="ar-DZ"/>
        </w:rPr>
      </w:pPr>
      <w:r>
        <w:rPr>
          <w:rFonts w:asciiTheme="majorBidi" w:hAnsiTheme="majorBidi" w:cstheme="majorBidi"/>
          <w:lang w:val="en-GB" w:bidi="ar-DZ"/>
        </w:rPr>
        <w:t>B</w:t>
      </w:r>
      <w:r w:rsidRPr="00EC39F4">
        <w:rPr>
          <w:rFonts w:asciiTheme="majorBidi" w:hAnsiTheme="majorBidi" w:cstheme="majorBidi"/>
          <w:lang w:val="en-GB" w:bidi="ar-DZ"/>
        </w:rPr>
        <w:t>ased on scientific research, ginseng has multiple biological bioactivities, such as vasorelaxation (angio-modulation), but it also has antioxidant, anti-inflammatory, anticancer, and antidiabetic-related (for obe</w:t>
      </w:r>
      <w:r>
        <w:rPr>
          <w:rFonts w:asciiTheme="majorBidi" w:hAnsiTheme="majorBidi" w:cstheme="majorBidi"/>
          <w:lang w:val="en-GB" w:bidi="ar-DZ"/>
        </w:rPr>
        <w:t>sity</w:t>
      </w:r>
      <w:r w:rsidRPr="00EC39F4">
        <w:rPr>
          <w:rFonts w:asciiTheme="majorBidi" w:hAnsiTheme="majorBidi" w:cstheme="majorBidi"/>
          <w:lang w:val="en-GB" w:bidi="ar-DZ"/>
        </w:rPr>
        <w:t>)</w:t>
      </w:r>
      <w:r>
        <w:rPr>
          <w:rFonts w:asciiTheme="majorBidi" w:hAnsiTheme="majorBidi" w:cstheme="majorBidi"/>
          <w:lang w:val="en-GB" w:bidi="ar-DZ"/>
        </w:rPr>
        <w:t>,</w:t>
      </w:r>
      <w:r w:rsidRPr="00EC39F4">
        <w:rPr>
          <w:rFonts w:cs="Arial"/>
          <w:lang w:val="en-GB"/>
        </w:rPr>
        <w:t xml:space="preserve"> </w:t>
      </w:r>
      <w:r w:rsidRPr="00EC39F4">
        <w:rPr>
          <w:rFonts w:asciiTheme="majorBidi" w:hAnsiTheme="majorBidi" w:cstheme="majorBidi"/>
          <w:lang w:val="en-GB" w:bidi="ar-DZ"/>
        </w:rPr>
        <w:t>properties. All these biological effects are closely connected to inflammation and the immune system</w:t>
      </w:r>
      <w:r>
        <w:rPr>
          <w:rFonts w:asciiTheme="majorBidi" w:hAnsiTheme="majorBidi" w:cstheme="majorBidi"/>
          <w:lang w:val="en-GB" w:bidi="ar-DZ"/>
        </w:rPr>
        <w:t xml:space="preserve"> (</w:t>
      </w:r>
      <w:r w:rsidRPr="00630D28">
        <w:rPr>
          <w:rFonts w:asciiTheme="majorBidi" w:hAnsiTheme="majorBidi" w:cstheme="majorBidi"/>
          <w:b/>
          <w:bCs/>
          <w:lang w:val="en-GB" w:bidi="ar-DZ"/>
        </w:rPr>
        <w:t xml:space="preserve">Sung </w:t>
      </w:r>
      <w:r w:rsidRPr="00630D28">
        <w:rPr>
          <w:rFonts w:asciiTheme="majorBidi" w:hAnsiTheme="majorBidi" w:cstheme="majorBidi"/>
          <w:b/>
          <w:bCs/>
          <w:i/>
          <w:iCs/>
          <w:lang w:val="en-GB" w:bidi="ar-DZ"/>
        </w:rPr>
        <w:t>et al</w:t>
      </w:r>
      <w:r w:rsidRPr="00630D28">
        <w:rPr>
          <w:rFonts w:asciiTheme="majorBidi" w:hAnsiTheme="majorBidi" w:cstheme="majorBidi"/>
          <w:b/>
          <w:bCs/>
          <w:lang w:val="en-GB" w:bidi="ar-DZ"/>
        </w:rPr>
        <w:t>, 2016</w:t>
      </w:r>
      <w:r>
        <w:rPr>
          <w:rFonts w:asciiTheme="majorBidi" w:hAnsiTheme="majorBidi" w:cstheme="majorBidi"/>
          <w:lang w:val="en-GB" w:bidi="ar-DZ"/>
        </w:rPr>
        <w:t>)</w:t>
      </w:r>
      <w:r w:rsidRPr="00EC39F4">
        <w:rPr>
          <w:rFonts w:asciiTheme="majorBidi" w:hAnsiTheme="majorBidi" w:cstheme="majorBidi"/>
          <w:lang w:val="en-GB" w:bidi="ar-DZ"/>
        </w:rPr>
        <w:t>.</w:t>
      </w:r>
    </w:p>
    <w:p w:rsidR="00E20473" w:rsidRDefault="005229AC" w:rsidP="00E20473">
      <w:pPr>
        <w:spacing w:line="360" w:lineRule="auto"/>
        <w:ind w:left="567" w:right="850"/>
        <w:jc w:val="both"/>
        <w:rPr>
          <w:rFonts w:asciiTheme="majorBidi" w:hAnsiTheme="majorBidi" w:cstheme="majorBidi"/>
          <w:b/>
          <w:bCs/>
          <w:lang w:val="en-GB" w:bidi="ar-DZ"/>
        </w:rPr>
      </w:pPr>
      <w:r w:rsidRPr="00B626A0">
        <w:rPr>
          <w:rFonts w:asciiTheme="majorBidi" w:hAnsiTheme="majorBidi" w:cstheme="majorBidi"/>
          <w:lang w:val="en-GB" w:bidi="ar-DZ"/>
        </w:rPr>
        <w:t xml:space="preserve">In reality, it is useless to compare our yields with those of the literature, because this parameter is linked to the climatic conditions of cultivation, namely temperature, rate of exposure to the sun, drought, salinity, cultural practices, maturity at harvest. and storage </w:t>
      </w:r>
      <w:r w:rsidR="00E20473" w:rsidRPr="00B626A0">
        <w:rPr>
          <w:rFonts w:asciiTheme="majorBidi" w:hAnsiTheme="majorBidi" w:cstheme="majorBidi"/>
          <w:lang w:val="en-GB" w:bidi="ar-DZ"/>
        </w:rPr>
        <w:t>conditions.</w:t>
      </w:r>
    </w:p>
    <w:p w:rsidR="005229AC" w:rsidRPr="00F65780" w:rsidRDefault="005229AC" w:rsidP="00E20473">
      <w:pPr>
        <w:spacing w:line="360" w:lineRule="auto"/>
        <w:ind w:left="567" w:right="850"/>
        <w:jc w:val="both"/>
        <w:rPr>
          <w:rFonts w:eastAsia="Calibri"/>
          <w:lang w:val="en-GB"/>
        </w:rPr>
      </w:pPr>
      <w:r>
        <w:rPr>
          <w:rFonts w:asciiTheme="majorBidi" w:hAnsiTheme="majorBidi" w:cstheme="majorBidi"/>
          <w:lang w:val="en-GB"/>
        </w:rPr>
        <w:t>A</w:t>
      </w:r>
      <w:r w:rsidRPr="00F65780">
        <w:rPr>
          <w:rFonts w:asciiTheme="majorBidi" w:hAnsiTheme="majorBidi" w:cstheme="majorBidi"/>
          <w:lang w:val="en-GB"/>
        </w:rPr>
        <w:t>nother study also of ginseng on rats shows that ginseng reduces oxidative stress in certain tissues by altering specific enzymatic activities that are necessary to scavenge free radicals, also protecting against oxidative stress (</w:t>
      </w:r>
      <w:r w:rsidRPr="007F00B3">
        <w:rPr>
          <w:rFonts w:asciiTheme="majorBidi" w:hAnsiTheme="majorBidi" w:cstheme="majorBidi"/>
          <w:b/>
          <w:bCs/>
          <w:lang w:val="en-GB"/>
        </w:rPr>
        <w:t>Kitts &amp; Hu, 2000</w:t>
      </w:r>
      <w:r>
        <w:rPr>
          <w:rFonts w:asciiTheme="majorBidi" w:hAnsiTheme="majorBidi" w:cstheme="majorBidi"/>
          <w:lang w:val="en-GB"/>
        </w:rPr>
        <w:t>)</w:t>
      </w:r>
    </w:p>
    <w:p w:rsidR="005229AC" w:rsidRDefault="005229AC" w:rsidP="005229AC">
      <w:pPr>
        <w:ind w:left="567" w:right="850"/>
        <w:jc w:val="both"/>
        <w:rPr>
          <w:rFonts w:eastAsia="Calibri"/>
          <w:lang w:val="en-GB"/>
        </w:rPr>
      </w:pPr>
      <w:r w:rsidRPr="00F65780">
        <w:rPr>
          <w:rFonts w:asciiTheme="majorBidi" w:hAnsiTheme="majorBidi" w:cstheme="majorBidi"/>
          <w:lang w:val="en-GB"/>
        </w:rPr>
        <w:t>Combinations of different ginsenosides have been shown to have synergistic effects. Although ginsenoside Rb1 or Rg1 alone only slightly induces the expression of NrF2, which is a key transcription factor that binds to the antioxidant response element (ARE) and is essential for regulating the expression of numerous antioxidants and detoxifying enzymes (</w:t>
      </w:r>
      <w:r w:rsidRPr="007F00B3">
        <w:rPr>
          <w:rFonts w:asciiTheme="majorBidi" w:hAnsiTheme="majorBidi" w:cstheme="majorBidi"/>
          <w:b/>
          <w:bCs/>
          <w:lang w:val="en-GB"/>
        </w:rPr>
        <w:t>Wong et al, 2014</w:t>
      </w:r>
      <w:r w:rsidRPr="00F65780">
        <w:rPr>
          <w:rFonts w:asciiTheme="majorBidi" w:hAnsiTheme="majorBidi" w:cstheme="majorBidi"/>
          <w:lang w:val="en-GB"/>
        </w:rPr>
        <w:t>). Similar in vitro studies with ginsenosides have indicated some degree of protection against free radical induced endothelial cell damage (</w:t>
      </w:r>
      <w:r w:rsidRPr="007F00B3">
        <w:rPr>
          <w:rFonts w:asciiTheme="majorBidi" w:hAnsiTheme="majorBidi" w:cstheme="majorBidi"/>
          <w:b/>
          <w:bCs/>
          <w:lang w:val="en-GB"/>
        </w:rPr>
        <w:t>Kitts &amp; Hu, 2000</w:t>
      </w:r>
      <w:r>
        <w:rPr>
          <w:rFonts w:asciiTheme="majorBidi" w:hAnsiTheme="majorBidi" w:cstheme="majorBidi"/>
          <w:lang w:val="en-GB"/>
        </w:rPr>
        <w:t>)</w:t>
      </w:r>
    </w:p>
    <w:p w:rsidR="005229AC" w:rsidRPr="007F00B3" w:rsidRDefault="005229AC" w:rsidP="005229AC">
      <w:pPr>
        <w:ind w:left="567" w:right="850"/>
        <w:jc w:val="both"/>
        <w:rPr>
          <w:rFonts w:eastAsia="Calibri"/>
          <w:lang w:val="en-GB"/>
        </w:rPr>
      </w:pPr>
      <w:r>
        <w:rPr>
          <w:rFonts w:asciiTheme="majorBidi" w:hAnsiTheme="majorBidi" w:cstheme="majorBidi"/>
          <w:lang w:val="en-GB"/>
        </w:rPr>
        <w:t>T</w:t>
      </w:r>
      <w:r w:rsidRPr="007F00B3">
        <w:rPr>
          <w:rFonts w:asciiTheme="majorBidi" w:hAnsiTheme="majorBidi" w:cstheme="majorBidi"/>
          <w:lang w:val="en-GB"/>
        </w:rPr>
        <w:t xml:space="preserve">he analgesic mechanism of action in inﬂammatory pain models is thought to be the down regulation of pro-inﬂammatory cytokine expression (TNF-αIL-1β, and IL-6). </w:t>
      </w:r>
      <w:r>
        <w:rPr>
          <w:rFonts w:asciiTheme="majorBidi" w:hAnsiTheme="majorBidi" w:cstheme="majorBidi"/>
          <w:lang w:val="en-GB"/>
        </w:rPr>
        <w:br/>
      </w:r>
      <w:r w:rsidRPr="007F00B3">
        <w:rPr>
          <w:rFonts w:asciiTheme="majorBidi" w:hAnsiTheme="majorBidi" w:cstheme="majorBidi"/>
          <w:lang w:val="en-GB"/>
        </w:rPr>
        <w:t xml:space="preserve">Several studies have also demonstrated that ginsenosides regulate neuropathic pain through the modulation of oestrogen receptors. Recently, an increasing number of pathways have emerged in relation to the antinociceptive effect of ginseng and ginsenosides. Therefore, this review presents our current understanding of the effectiveness of ginseng in </w:t>
      </w:r>
      <w:r>
        <w:rPr>
          <w:rFonts w:asciiTheme="majorBidi" w:hAnsiTheme="majorBidi" w:cstheme="majorBidi"/>
          <w:lang w:val="en-GB"/>
        </w:rPr>
        <w:t>pain</w:t>
      </w:r>
      <w:r w:rsidRPr="007F00B3">
        <w:rPr>
          <w:rFonts w:asciiTheme="majorBidi" w:hAnsiTheme="majorBidi" w:cstheme="majorBidi"/>
          <w:lang w:val="en-GB"/>
        </w:rPr>
        <w:t xml:space="preserve"> and how its active constituents regulate </w:t>
      </w:r>
      <w:r>
        <w:rPr>
          <w:rFonts w:asciiTheme="majorBidi" w:hAnsiTheme="majorBidi" w:cstheme="majorBidi"/>
          <w:lang w:val="en-GB"/>
        </w:rPr>
        <w:t>analgesic</w:t>
      </w:r>
      <w:r w:rsidRPr="007F00B3">
        <w:rPr>
          <w:rFonts w:asciiTheme="majorBidi" w:hAnsiTheme="majorBidi" w:cstheme="majorBidi"/>
          <w:lang w:val="en-GB"/>
        </w:rPr>
        <w:t xml:space="preserve"> responses and their mechanisms of action, In the current study, it was observed that both phases of the acetic acid-induced writhing were significantly reduced by pre</w:t>
      </w:r>
      <w:r>
        <w:rPr>
          <w:rFonts w:asciiTheme="majorBidi" w:hAnsiTheme="majorBidi" w:cstheme="majorBidi"/>
          <w:lang w:val="en-GB"/>
        </w:rPr>
        <w:t>-</w:t>
      </w:r>
      <w:r w:rsidRPr="007F00B3">
        <w:rPr>
          <w:rFonts w:asciiTheme="majorBidi" w:hAnsiTheme="majorBidi" w:cstheme="majorBidi"/>
          <w:lang w:val="en-GB"/>
        </w:rPr>
        <w:t>treatment of rats with the WG and RG. The result of this study suggests that aqueous extract WG of has analgesic effect comparable to those of the standard drugs such as PARACETAMOL.</w:t>
      </w:r>
      <w:r>
        <w:rPr>
          <w:rFonts w:asciiTheme="majorBidi" w:hAnsiTheme="majorBidi" w:cstheme="majorBidi"/>
          <w:lang w:val="en-GB"/>
        </w:rPr>
        <w:t xml:space="preserve"> Moreover, t</w:t>
      </w:r>
      <w:r w:rsidRPr="007F00B3">
        <w:rPr>
          <w:rFonts w:asciiTheme="majorBidi" w:hAnsiTheme="majorBidi" w:cstheme="majorBidi"/>
          <w:lang w:val="en-GB"/>
        </w:rPr>
        <w:t>he ethanolic extract RG was more effective as an analgesic as it reduced the number of writhes (in acetic acid induced writhing)</w:t>
      </w:r>
    </w:p>
    <w:p w:rsidR="005229AC" w:rsidRPr="00EC5264" w:rsidRDefault="005229AC" w:rsidP="005229AC">
      <w:pPr>
        <w:ind w:left="567" w:right="850"/>
        <w:jc w:val="both"/>
        <w:rPr>
          <w:rFonts w:eastAsia="Calibri"/>
          <w:lang w:val="en-GB"/>
        </w:rPr>
        <w:sectPr w:rsidR="005229AC" w:rsidRPr="00EC5264" w:rsidSect="00966558">
          <w:pgSz w:w="11906" w:h="16838"/>
          <w:pgMar w:top="720" w:right="720" w:bottom="720" w:left="720" w:header="708" w:footer="708" w:gutter="0"/>
          <w:cols w:space="708"/>
          <w:docGrid w:linePitch="360"/>
        </w:sectPr>
      </w:pPr>
      <w:r w:rsidRPr="007F00B3">
        <w:rPr>
          <w:rFonts w:asciiTheme="majorBidi" w:hAnsiTheme="majorBidi" w:cstheme="majorBidi"/>
          <w:lang w:val="en-GB"/>
        </w:rPr>
        <w:t xml:space="preserve">This observation is in line with a similar study carried out </w:t>
      </w:r>
      <w:r w:rsidRPr="007F00B3">
        <w:rPr>
          <w:rFonts w:asciiTheme="majorBidi" w:hAnsiTheme="majorBidi" w:cstheme="majorBidi"/>
          <w:b/>
          <w:bCs/>
          <w:lang w:val="en-GB"/>
        </w:rPr>
        <w:t>Haoming luo et al. (2018)</w:t>
      </w:r>
      <w:r w:rsidRPr="007F00B3">
        <w:rPr>
          <w:rFonts w:asciiTheme="majorBidi" w:hAnsiTheme="majorBidi" w:cstheme="majorBidi"/>
          <w:lang w:val="en-GB"/>
        </w:rPr>
        <w:t xml:space="preserve"> which the Ginseng showed long aging analgesic effect, the experimental results indicated that Ginseng may possess the effect of peripheral analgesic. At present, ginsenosides are considered to be the active substance of ginseng. The research about its anti-inflammatory and analgesic activities mainly focused on ginsenosides, Rb1 and Rg1. The glycopeptides which are active macromolecules, is a new exploration for the anti-inflammatory and analgesic substances of ginsen</w:t>
      </w:r>
      <w:r>
        <w:rPr>
          <w:rFonts w:asciiTheme="majorBidi" w:hAnsiTheme="majorBidi" w:cstheme="majorBidi"/>
          <w:lang w:val="en-GB"/>
        </w:rPr>
        <w:t>g.</w:t>
      </w:r>
    </w:p>
    <w:p w:rsidR="005229AC" w:rsidRPr="005229AC" w:rsidRDefault="005229AC" w:rsidP="00E525C7">
      <w:pPr>
        <w:ind w:left="680" w:right="1128"/>
        <w:jc w:val="both"/>
        <w:rPr>
          <w:rFonts w:asciiTheme="majorBidi" w:eastAsia="Calibri" w:hAnsiTheme="majorBidi" w:cstheme="majorBidi"/>
          <w:b/>
          <w:bCs/>
          <w:sz w:val="28"/>
          <w:szCs w:val="28"/>
          <w:lang w:val="en-GB"/>
        </w:rPr>
      </w:pPr>
      <w:r w:rsidRPr="005229AC">
        <w:rPr>
          <w:rFonts w:asciiTheme="majorBidi" w:eastAsia="Calibri" w:hAnsiTheme="majorBidi" w:cstheme="majorBidi"/>
          <w:b/>
          <w:bCs/>
          <w:sz w:val="28"/>
          <w:szCs w:val="28"/>
          <w:lang w:val="en-GB"/>
        </w:rPr>
        <w:lastRenderedPageBreak/>
        <w:t>Conclusion</w:t>
      </w:r>
    </w:p>
    <w:p w:rsidR="005229AC" w:rsidRDefault="005229AC" w:rsidP="005229AC">
      <w:pPr>
        <w:spacing w:line="360" w:lineRule="auto"/>
        <w:ind w:left="680" w:right="1128"/>
        <w:jc w:val="both"/>
        <w:rPr>
          <w:rFonts w:asciiTheme="majorBidi" w:hAnsiTheme="majorBidi" w:cstheme="majorBidi"/>
          <w:sz w:val="24"/>
          <w:szCs w:val="24"/>
          <w:lang w:val="en-GB"/>
        </w:rPr>
      </w:pPr>
      <w:r w:rsidRPr="005229AC">
        <w:rPr>
          <w:rFonts w:asciiTheme="majorBidi" w:hAnsiTheme="majorBidi" w:cstheme="majorBidi"/>
          <w:sz w:val="24"/>
          <w:szCs w:val="24"/>
          <w:lang w:val="en-GB"/>
        </w:rPr>
        <w:t>Ginseng and its bioactive constituents the ginsenosides include the modulation of neurotransmitter function in both peripheral and central systems, inhibition of in</w:t>
      </w:r>
      <w:r w:rsidRPr="005229AC">
        <w:rPr>
          <w:rFonts w:asciiTheme="majorBidi" w:hAnsiTheme="majorBidi" w:cstheme="majorBidi"/>
          <w:sz w:val="24"/>
          <w:szCs w:val="24"/>
        </w:rPr>
        <w:t>ﬂ</w:t>
      </w:r>
      <w:r w:rsidRPr="005229AC">
        <w:rPr>
          <w:rFonts w:asciiTheme="majorBidi" w:hAnsiTheme="majorBidi" w:cstheme="majorBidi"/>
          <w:sz w:val="24"/>
          <w:szCs w:val="24"/>
          <w:lang w:val="en-GB"/>
        </w:rPr>
        <w:t>ammatory cytokine expression, modulation of ion channel activity in DRG and spinal cord neurons, regulation of the TLR4/NF-</w:t>
      </w:r>
      <w:r w:rsidRPr="005229AC">
        <w:rPr>
          <w:rFonts w:asciiTheme="majorBidi" w:hAnsiTheme="majorBidi" w:cstheme="majorBidi"/>
          <w:sz w:val="24"/>
          <w:szCs w:val="24"/>
        </w:rPr>
        <w:t>κ</w:t>
      </w:r>
      <w:r w:rsidRPr="005229AC">
        <w:rPr>
          <w:rFonts w:asciiTheme="majorBidi" w:hAnsiTheme="majorBidi" w:cstheme="majorBidi"/>
          <w:sz w:val="24"/>
          <w:szCs w:val="24"/>
          <w:lang w:val="en-GB"/>
        </w:rPr>
        <w:t>B signal transduction axis, and anti-in</w:t>
      </w:r>
      <w:r w:rsidRPr="005229AC">
        <w:rPr>
          <w:rFonts w:asciiTheme="majorBidi" w:hAnsiTheme="majorBidi" w:cstheme="majorBidi"/>
          <w:sz w:val="24"/>
          <w:szCs w:val="24"/>
        </w:rPr>
        <w:t>ﬂ</w:t>
      </w:r>
      <w:r w:rsidRPr="005229AC">
        <w:rPr>
          <w:rFonts w:asciiTheme="majorBidi" w:hAnsiTheme="majorBidi" w:cstheme="majorBidi"/>
          <w:sz w:val="24"/>
          <w:szCs w:val="24"/>
          <w:lang w:val="en-GB"/>
        </w:rPr>
        <w:t>ammatory effects. This work has provided atheoretical basis and practical application for the analgesia effect based on Panax ginseng. Hence, ginsenosides have great potential for future pain treatment or as an adjuvant for pain therapy in multiple pa</w:t>
      </w:r>
      <w:r w:rsidRPr="005229AC">
        <w:rPr>
          <w:rFonts w:asciiTheme="majorBidi" w:hAnsiTheme="majorBidi" w:cstheme="majorBidi"/>
          <w:sz w:val="24"/>
          <w:szCs w:val="24"/>
          <w:lang w:val="en-GB"/>
        </w:rPr>
        <w:t>in type.</w:t>
      </w:r>
    </w:p>
    <w:p w:rsidR="00E12B71" w:rsidRDefault="006B2B0F" w:rsidP="005229AC">
      <w:pPr>
        <w:spacing w:line="360" w:lineRule="auto"/>
        <w:ind w:left="680" w:right="1128"/>
        <w:jc w:val="both"/>
        <w:rPr>
          <w:rFonts w:asciiTheme="majorBidi" w:hAnsiTheme="majorBidi" w:cstheme="majorBidi"/>
          <w:b/>
          <w:bCs/>
          <w:sz w:val="24"/>
          <w:szCs w:val="24"/>
          <w:lang w:val="en-GB"/>
        </w:rPr>
      </w:pPr>
      <w:r w:rsidRPr="006B2B0F">
        <w:rPr>
          <w:rFonts w:asciiTheme="majorBidi" w:hAnsiTheme="majorBidi" w:cstheme="majorBidi"/>
          <w:b/>
          <w:bCs/>
          <w:sz w:val="24"/>
          <w:szCs w:val="24"/>
          <w:lang w:val="en-GB"/>
        </w:rPr>
        <w:t>Reference</w:t>
      </w:r>
    </w:p>
    <w:p w:rsidR="006B2B0F" w:rsidRPr="00E20473" w:rsidRDefault="006B2B0F" w:rsidP="006B2B0F">
      <w:pPr>
        <w:pStyle w:val="Paragraphedeliste"/>
        <w:numPr>
          <w:ilvl w:val="0"/>
          <w:numId w:val="1"/>
        </w:numPr>
        <w:ind w:right="680"/>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lang w:val="en-GB"/>
        </w:rPr>
        <w:t>Calixto, J.B. Campos, M.M. Otuki, M.F. Santos, A.R. (2004). Anti-inflammatory compounds of plant origin. part II. Modulation of pro-inflammatory cytokines, chemokines and adhesion molecules. Planta Medica; Vol 70: p 93-103.</w:t>
      </w:r>
    </w:p>
    <w:p w:rsidR="006B2B0F" w:rsidRPr="00E20473" w:rsidRDefault="006B2B0F" w:rsidP="00824C23">
      <w:pPr>
        <w:numPr>
          <w:ilvl w:val="0"/>
          <w:numId w:val="1"/>
        </w:numPr>
        <w:spacing w:line="276" w:lineRule="auto"/>
        <w:ind w:right="680"/>
        <w:contextualSpacing/>
        <w:jc w:val="both"/>
        <w:rPr>
          <w:rFonts w:asciiTheme="majorBidi" w:eastAsia="Calibri" w:hAnsiTheme="majorBidi" w:cstheme="majorBidi"/>
          <w:sz w:val="24"/>
          <w:szCs w:val="24"/>
          <w:lang w:val="en-GB"/>
        </w:rPr>
      </w:pPr>
      <w:r w:rsidRPr="00E20473">
        <w:rPr>
          <w:rFonts w:asciiTheme="majorBidi" w:hAnsiTheme="majorBidi" w:cstheme="majorBidi"/>
          <w:sz w:val="24"/>
          <w:szCs w:val="24"/>
          <w:lang w:val="en-GB"/>
        </w:rPr>
        <w:t xml:space="preserve">Guo L, Song L, Wang Z, Zhao W, Mao W, Ming Y. </w:t>
      </w:r>
      <w:r w:rsidR="00824C23">
        <w:rPr>
          <w:rFonts w:asciiTheme="majorBidi" w:hAnsiTheme="majorBidi" w:cstheme="majorBidi"/>
          <w:sz w:val="24"/>
          <w:szCs w:val="24"/>
          <w:lang w:val="en-GB"/>
        </w:rPr>
        <w:t xml:space="preserve">(2019). </w:t>
      </w:r>
      <w:r w:rsidRPr="00E20473">
        <w:rPr>
          <w:rFonts w:asciiTheme="majorBidi" w:hAnsiTheme="majorBidi" w:cstheme="majorBidi"/>
          <w:sz w:val="24"/>
          <w:szCs w:val="24"/>
          <w:lang w:val="en-GB"/>
        </w:rPr>
        <w:t>Panaxydol inhibits the proliferation and induces the differentiation of human hepatocarcinoma cell lineHepG2. ChemBiol Interact.181:138–43.</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lang w:val="en-GB"/>
        </w:rPr>
        <w:t>Lee, J. Y., Choi, H. Y., Park, C. S., Ki</w:t>
      </w:r>
      <w:r w:rsidRPr="00E20473">
        <w:rPr>
          <w:rFonts w:asciiTheme="majorBidi" w:hAnsiTheme="majorBidi" w:cstheme="majorBidi"/>
          <w:sz w:val="24"/>
          <w:szCs w:val="24"/>
          <w:shd w:val="clear" w:color="auto" w:fill="FFFFFF"/>
          <w:lang w:val="en-GB"/>
        </w:rPr>
        <w:t>m, D. H., and Yune, T. Y. (2021</w:t>
      </w:r>
      <w:r w:rsidRPr="00E20473">
        <w:rPr>
          <w:rFonts w:asciiTheme="majorBidi" w:hAnsiTheme="majorBidi" w:cstheme="majorBidi"/>
          <w:sz w:val="24"/>
          <w:szCs w:val="24"/>
          <w:shd w:val="clear" w:color="auto" w:fill="FFFFFF"/>
          <w:lang w:val="en-GB"/>
        </w:rPr>
        <w:t>). TotalSaponin Extract, Ginsenoside Rb1, and Compound K Alleviate Peripheral andcentral Neuropathic Pain through Estrogen Receptors on Rats. Phytother Res.35, 2119–2132. doi:10.1002/ptr.6960.</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lang w:val="en-GB"/>
        </w:rPr>
        <w:t>Lee, W. J., Kim, Y. S., and Shim, W. S. (2018). Korean Red Ginseng Extract andGinsenoside Rg3 Have Anti-pruritic Effects on Chloroquine-Induced Itch byInhibition of MrgprA3/TRPA1-Mediated Pathway. J. Ginseng Res. 42, 470–475.doi:10.1016/j.jgr.2017.05.004.</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rPr>
        <w:t xml:space="preserve">Zhang, J., Li, W. B., Yuan, Q. Y., Zhou, J., Zhang, J. M., Gao, Y. F., et al. </w:t>
      </w:r>
      <w:r w:rsidRPr="00E20473">
        <w:rPr>
          <w:rFonts w:asciiTheme="majorBidi" w:hAnsiTheme="majorBidi" w:cstheme="majorBidi"/>
          <w:sz w:val="24"/>
          <w:szCs w:val="24"/>
          <w:shd w:val="clear" w:color="auto" w:fill="FFFFFF"/>
          <w:lang w:val="en-GB"/>
        </w:rPr>
        <w:t>(2019).Transcriptome Analyses of the Anti-proliferative Effects of 20(S)-GinsenosideRh2 on HepG2 Cells. Front. Pharmacol. 10, 1331. doi:10.3389/fphar.2019.01331.</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bookmarkStart w:id="1" w:name="_Hlk105177731"/>
      <w:r w:rsidRPr="00E20473">
        <w:rPr>
          <w:rFonts w:asciiTheme="majorBidi" w:hAnsiTheme="majorBidi" w:cstheme="majorBidi"/>
          <w:sz w:val="24"/>
          <w:szCs w:val="24"/>
          <w:shd w:val="clear" w:color="auto" w:fill="FFFFFF"/>
          <w:lang w:val="en-GB"/>
        </w:rPr>
        <w:t>Seungyeop</w:t>
      </w:r>
      <w:bookmarkEnd w:id="1"/>
      <w:r w:rsidRPr="00E20473">
        <w:rPr>
          <w:rFonts w:asciiTheme="majorBidi" w:hAnsiTheme="majorBidi" w:cstheme="majorBidi"/>
          <w:sz w:val="24"/>
          <w:szCs w:val="24"/>
          <w:shd w:val="clear" w:color="auto" w:fill="FFFFFF"/>
          <w:lang w:val="en-GB"/>
        </w:rPr>
        <w:t xml:space="preserve"> Lee, Dong-Kwon Rhee, 2017, Effects of ginseng on stress-related depression, anxiety, and the hypothalamic–pituitary–adrenal axis, </w:t>
      </w:r>
      <w:hyperlink r:id="rId10" w:history="1">
        <w:r w:rsidRPr="00E20473">
          <w:rPr>
            <w:rFonts w:asciiTheme="majorBidi" w:hAnsiTheme="majorBidi" w:cstheme="majorBidi"/>
            <w:sz w:val="24"/>
            <w:szCs w:val="24"/>
            <w:u w:val="single"/>
            <w:shd w:val="clear" w:color="auto" w:fill="FFFFFF"/>
            <w:lang w:val="en-GB"/>
          </w:rPr>
          <w:t>https://doi.org/10.1016/j.jgr.2017.01.010</w:t>
        </w:r>
      </w:hyperlink>
      <w:r w:rsidRPr="00E20473">
        <w:rPr>
          <w:rFonts w:asciiTheme="majorBidi" w:hAnsiTheme="majorBidi" w:cstheme="majorBidi"/>
          <w:sz w:val="24"/>
          <w:szCs w:val="24"/>
          <w:shd w:val="clear" w:color="auto" w:fill="FFFFFF"/>
          <w:lang w:val="en-GB"/>
        </w:rPr>
        <w:t>.</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rPr>
      </w:pPr>
      <w:r w:rsidRPr="00E20473">
        <w:rPr>
          <w:rFonts w:asciiTheme="majorBidi" w:hAnsiTheme="majorBidi" w:cstheme="majorBidi"/>
          <w:sz w:val="24"/>
          <w:szCs w:val="24"/>
          <w:shd w:val="clear" w:color="auto" w:fill="FFFFFF"/>
          <w:lang w:val="en-GB"/>
        </w:rPr>
        <w:t xml:space="preserve">Sawadogo, W.R. Boly, R. Lompo, M. (2006). Anti-inflammatory, analgesic and antipyretic activities of Diclipteraverticillata. </w:t>
      </w:r>
      <w:r w:rsidRPr="00E20473">
        <w:rPr>
          <w:rFonts w:asciiTheme="majorBidi" w:hAnsiTheme="majorBidi" w:cstheme="majorBidi"/>
          <w:sz w:val="24"/>
          <w:szCs w:val="24"/>
          <w:shd w:val="clear" w:color="auto" w:fill="FFFFFF"/>
        </w:rPr>
        <w:t>Int J Pharmacol 2 (4): p 435–8.</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lang w:val="en-GB"/>
        </w:rPr>
      </w:pPr>
      <w:r w:rsidRPr="00E20473">
        <w:rPr>
          <w:rFonts w:asciiTheme="majorBidi" w:hAnsiTheme="majorBidi" w:cstheme="majorBidi"/>
          <w:sz w:val="24"/>
          <w:szCs w:val="24"/>
          <w:lang w:val="en-GB"/>
        </w:rPr>
        <w:t xml:space="preserve">Yun S. N, Moon S. J, Ko S. K, editors. et al. </w:t>
      </w:r>
      <w:r w:rsidR="00824C23">
        <w:rPr>
          <w:rFonts w:asciiTheme="majorBidi" w:hAnsiTheme="majorBidi" w:cstheme="majorBidi"/>
          <w:sz w:val="24"/>
          <w:szCs w:val="24"/>
          <w:lang w:val="en-GB"/>
        </w:rPr>
        <w:t xml:space="preserve">(2004). </w:t>
      </w:r>
      <w:r w:rsidRPr="00E20473">
        <w:rPr>
          <w:rFonts w:asciiTheme="majorBidi" w:hAnsiTheme="majorBidi" w:cstheme="majorBidi"/>
          <w:sz w:val="24"/>
          <w:szCs w:val="24"/>
          <w:lang w:val="en-GB"/>
        </w:rPr>
        <w:t>Wild ginseng prevents the onset of high-fat diet induced hyper glycemia and obesity in</w:t>
      </w:r>
      <w:r w:rsidR="00824C23">
        <w:rPr>
          <w:rFonts w:asciiTheme="majorBidi" w:hAnsiTheme="majorBidi" w:cstheme="majorBidi"/>
          <w:sz w:val="24"/>
          <w:szCs w:val="24"/>
          <w:lang w:val="en-GB"/>
        </w:rPr>
        <w:t xml:space="preserve"> ICR mice. Arch Pharm Res. </w:t>
      </w:r>
      <w:r w:rsidRPr="00E20473">
        <w:rPr>
          <w:rFonts w:asciiTheme="majorBidi" w:hAnsiTheme="majorBidi" w:cstheme="majorBidi"/>
          <w:sz w:val="24"/>
          <w:szCs w:val="24"/>
          <w:lang w:val="en-GB"/>
        </w:rPr>
        <w:t>27:790–6.</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lang w:val="en-GB"/>
        </w:rPr>
        <w:lastRenderedPageBreak/>
        <w:t xml:space="preserve">Sung WN, Kwok HH, Rhee MH, Yue PYK, Wong RNS. </w:t>
      </w:r>
      <w:r w:rsidR="00824C23">
        <w:rPr>
          <w:rFonts w:asciiTheme="majorBidi" w:hAnsiTheme="majorBidi" w:cstheme="majorBidi"/>
          <w:sz w:val="24"/>
          <w:szCs w:val="24"/>
          <w:shd w:val="clear" w:color="auto" w:fill="FFFFFF"/>
          <w:lang w:val="en-GB"/>
        </w:rPr>
        <w:t xml:space="preserve">(2016). </w:t>
      </w:r>
      <w:r w:rsidRPr="00E20473">
        <w:rPr>
          <w:rFonts w:asciiTheme="majorBidi" w:hAnsiTheme="majorBidi" w:cstheme="majorBidi"/>
          <w:sz w:val="24"/>
          <w:szCs w:val="24"/>
          <w:shd w:val="clear" w:color="auto" w:fill="FFFFFF"/>
          <w:lang w:val="en-GB"/>
        </w:rPr>
        <w:t>Korean Red Ginseng extract induces angiogenesis through activation of glucocor</w:t>
      </w:r>
      <w:r w:rsidR="00824C23">
        <w:rPr>
          <w:rFonts w:asciiTheme="majorBidi" w:hAnsiTheme="majorBidi" w:cstheme="majorBidi"/>
          <w:sz w:val="24"/>
          <w:szCs w:val="24"/>
          <w:shd w:val="clear" w:color="auto" w:fill="FFFFFF"/>
          <w:lang w:val="en-GB"/>
        </w:rPr>
        <w:t>ticoid receptor.J GINS RES.</w:t>
      </w:r>
      <w:r w:rsidRPr="00E20473">
        <w:rPr>
          <w:rFonts w:asciiTheme="majorBidi" w:hAnsiTheme="majorBidi" w:cstheme="majorBidi"/>
          <w:sz w:val="24"/>
          <w:szCs w:val="24"/>
          <w:shd w:val="clear" w:color="auto" w:fill="FFFFFF"/>
          <w:lang w:val="en-GB"/>
        </w:rPr>
        <w:t xml:space="preserve"> 41: 477–486.</w:t>
      </w:r>
    </w:p>
    <w:p w:rsidR="000E6EF0" w:rsidRPr="00E20473" w:rsidRDefault="000E6EF0" w:rsidP="000E6EF0">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lang w:val="en-GB"/>
        </w:rPr>
        <w:t>Kitts DD, Hu C (2000)</w:t>
      </w:r>
      <w:r w:rsidR="00824C23">
        <w:rPr>
          <w:rFonts w:asciiTheme="majorBidi" w:hAnsiTheme="majorBidi" w:cstheme="majorBidi"/>
          <w:sz w:val="24"/>
          <w:szCs w:val="24"/>
          <w:lang w:val="en-GB"/>
        </w:rPr>
        <w:t>.</w:t>
      </w:r>
      <w:r w:rsidRPr="00E20473">
        <w:rPr>
          <w:rFonts w:asciiTheme="majorBidi" w:hAnsiTheme="majorBidi" w:cstheme="majorBidi"/>
          <w:sz w:val="24"/>
          <w:szCs w:val="24"/>
          <w:lang w:val="en-GB"/>
        </w:rPr>
        <w:t xml:space="preserve"> Efficacy and safety of ginseng. Public Health Nutrition 3:473-485.</w:t>
      </w:r>
    </w:p>
    <w:p w:rsidR="00B05972" w:rsidRPr="00E20473" w:rsidRDefault="00B05972" w:rsidP="00B05972">
      <w:pPr>
        <w:numPr>
          <w:ilvl w:val="0"/>
          <w:numId w:val="1"/>
        </w:numPr>
        <w:ind w:right="680"/>
        <w:contextualSpacing/>
        <w:jc w:val="both"/>
        <w:rPr>
          <w:rFonts w:asciiTheme="majorBidi" w:eastAsia="Calibri" w:hAnsiTheme="majorBidi" w:cstheme="majorBidi"/>
          <w:sz w:val="24"/>
          <w:szCs w:val="24"/>
          <w:lang w:val="en-GB"/>
        </w:rPr>
      </w:pPr>
      <w:r w:rsidRPr="00E20473">
        <w:rPr>
          <w:rFonts w:asciiTheme="majorBidi" w:hAnsiTheme="majorBidi" w:cstheme="majorBidi"/>
          <w:sz w:val="24"/>
          <w:szCs w:val="24"/>
          <w:lang w:val="en-GB"/>
        </w:rPr>
        <w:t>Wong AST, Che CM and Leung KW (2014)</w:t>
      </w:r>
      <w:r w:rsidR="00824C23">
        <w:rPr>
          <w:rFonts w:asciiTheme="majorBidi" w:hAnsiTheme="majorBidi" w:cstheme="majorBidi"/>
          <w:sz w:val="24"/>
          <w:szCs w:val="24"/>
          <w:lang w:val="en-GB"/>
        </w:rPr>
        <w:t xml:space="preserve">. </w:t>
      </w:r>
      <w:r w:rsidRPr="00E20473">
        <w:rPr>
          <w:rFonts w:asciiTheme="majorBidi" w:hAnsiTheme="majorBidi" w:cstheme="majorBidi"/>
          <w:sz w:val="24"/>
          <w:szCs w:val="24"/>
          <w:lang w:val="en-GB"/>
        </w:rPr>
        <w:t xml:space="preserve"> Recent advances in ginseng as cancertherapeutics: a functional and mechanistic overview Journal: natural Product Reports 1-17.</w:t>
      </w:r>
    </w:p>
    <w:p w:rsidR="00B05972" w:rsidRPr="00E20473" w:rsidRDefault="00B05972" w:rsidP="00B05972">
      <w:pPr>
        <w:numPr>
          <w:ilvl w:val="0"/>
          <w:numId w:val="1"/>
        </w:numPr>
        <w:ind w:right="680"/>
        <w:contextualSpacing/>
        <w:jc w:val="both"/>
        <w:rPr>
          <w:rFonts w:asciiTheme="majorBidi" w:eastAsia="Calibri" w:hAnsiTheme="majorBidi" w:cstheme="majorBidi"/>
          <w:sz w:val="24"/>
          <w:szCs w:val="24"/>
          <w:shd w:val="clear" w:color="auto" w:fill="FFFFFF"/>
          <w:lang w:val="en-GB"/>
        </w:rPr>
      </w:pPr>
      <w:r w:rsidRPr="00E20473">
        <w:rPr>
          <w:rFonts w:asciiTheme="majorBidi" w:hAnsiTheme="majorBidi" w:cstheme="majorBidi"/>
          <w:sz w:val="24"/>
          <w:szCs w:val="24"/>
          <w:shd w:val="clear" w:color="auto" w:fill="FFFFFF"/>
          <w:lang w:val="en-GB"/>
        </w:rPr>
        <w:t>Haoming Luo, Difu Zhu, Ying Wang, Yinghong Chen, Ruizhi Jiang, Peng Yu, and Zhidong</w:t>
      </w:r>
      <w:r w:rsidRPr="00E20473">
        <w:rPr>
          <w:rFonts w:asciiTheme="majorBidi" w:hAnsiTheme="majorBidi" w:cstheme="majorBidi"/>
          <w:sz w:val="24"/>
          <w:szCs w:val="24"/>
          <w:shd w:val="clear" w:color="auto" w:fill="FFFFFF"/>
          <w:lang w:val="en-GB"/>
        </w:rPr>
        <w:t xml:space="preserve"> </w:t>
      </w:r>
      <w:r w:rsidRPr="00E20473">
        <w:rPr>
          <w:rFonts w:asciiTheme="majorBidi" w:hAnsiTheme="majorBidi" w:cstheme="majorBidi"/>
          <w:sz w:val="24"/>
          <w:szCs w:val="24"/>
          <w:shd w:val="clear" w:color="auto" w:fill="FFFFFF"/>
          <w:lang w:val="en-GB"/>
        </w:rPr>
        <w:t>Qiu</w:t>
      </w:r>
      <w:r w:rsidRPr="00E20473">
        <w:rPr>
          <w:rFonts w:asciiTheme="majorBidi" w:hAnsiTheme="majorBidi" w:cstheme="majorBidi"/>
          <w:sz w:val="24"/>
          <w:szCs w:val="24"/>
          <w:shd w:val="clear" w:color="auto" w:fill="FFFFFF"/>
          <w:lang w:val="en-GB"/>
        </w:rPr>
        <w:t xml:space="preserve">. (2018).  </w:t>
      </w:r>
      <w:r w:rsidRPr="00E20473">
        <w:rPr>
          <w:rFonts w:asciiTheme="majorBidi" w:hAnsiTheme="majorBidi" w:cstheme="majorBidi"/>
          <w:sz w:val="24"/>
          <w:szCs w:val="24"/>
          <w:shd w:val="clear" w:color="auto" w:fill="FFFFFF"/>
          <w:lang w:val="en-GB"/>
        </w:rPr>
        <w:t>Study on the Structure of Ginseng Glycopeptides with Anti-Inflammatory and Analgesic Activitydoi: 10.3390/molecules23061325.</w:t>
      </w:r>
    </w:p>
    <w:p w:rsidR="00B05972" w:rsidRPr="005F0523" w:rsidRDefault="00B05972" w:rsidP="00E20473">
      <w:pPr>
        <w:ind w:left="1040" w:right="680"/>
        <w:contextualSpacing/>
        <w:jc w:val="both"/>
        <w:rPr>
          <w:rFonts w:eastAsia="Calibri"/>
          <w:color w:val="303030"/>
          <w:shd w:val="clear" w:color="auto" w:fill="FFFFFF"/>
          <w:lang w:val="en-GB"/>
        </w:rPr>
      </w:pPr>
    </w:p>
    <w:p w:rsidR="006B2B0F" w:rsidRDefault="006B2B0F" w:rsidP="005229AC">
      <w:pPr>
        <w:spacing w:line="360" w:lineRule="auto"/>
        <w:ind w:left="680" w:right="1128"/>
        <w:jc w:val="both"/>
        <w:rPr>
          <w:rFonts w:asciiTheme="majorBidi" w:hAnsiTheme="majorBidi" w:cstheme="majorBidi"/>
          <w:sz w:val="24"/>
          <w:szCs w:val="24"/>
          <w:lang w:val="en-GB"/>
        </w:rPr>
      </w:pPr>
    </w:p>
    <w:p w:rsidR="005229AC" w:rsidRPr="005229AC" w:rsidRDefault="005229AC" w:rsidP="005229AC">
      <w:pPr>
        <w:spacing w:line="360" w:lineRule="auto"/>
        <w:ind w:left="680" w:right="1128"/>
        <w:jc w:val="both"/>
        <w:rPr>
          <w:rFonts w:eastAsia="Calibri"/>
          <w:sz w:val="24"/>
          <w:szCs w:val="24"/>
          <w:lang w:val="en-GB"/>
        </w:rPr>
      </w:pPr>
    </w:p>
    <w:p w:rsidR="00E525C7" w:rsidRPr="00E14EC8" w:rsidRDefault="00E525C7" w:rsidP="00E525C7">
      <w:pPr>
        <w:ind w:left="680" w:right="1128"/>
        <w:jc w:val="both"/>
        <w:rPr>
          <w:rFonts w:eastAsia="Calibri"/>
          <w:sz w:val="36"/>
          <w:szCs w:val="36"/>
          <w:lang w:val="en-GB"/>
        </w:rPr>
      </w:pPr>
    </w:p>
    <w:p w:rsidR="00E525C7" w:rsidRPr="00E14EC8" w:rsidRDefault="00E525C7" w:rsidP="00E525C7">
      <w:pPr>
        <w:ind w:left="680" w:right="1128"/>
        <w:jc w:val="both"/>
        <w:rPr>
          <w:rFonts w:eastAsia="Calibri"/>
          <w:sz w:val="36"/>
          <w:szCs w:val="36"/>
          <w:lang w:val="en-GB"/>
        </w:rPr>
      </w:pPr>
    </w:p>
    <w:p w:rsidR="00E525C7" w:rsidRPr="00E14EC8" w:rsidRDefault="00E525C7" w:rsidP="00E525C7">
      <w:pPr>
        <w:ind w:left="680" w:right="1128"/>
        <w:jc w:val="both"/>
        <w:rPr>
          <w:rFonts w:eastAsia="Calibri"/>
          <w:sz w:val="36"/>
          <w:szCs w:val="36"/>
          <w:lang w:val="en-GB"/>
        </w:rPr>
      </w:pPr>
    </w:p>
    <w:p w:rsidR="00E525C7" w:rsidRPr="00E14EC8" w:rsidRDefault="00E525C7" w:rsidP="00E525C7">
      <w:pPr>
        <w:ind w:left="680" w:right="1128"/>
        <w:jc w:val="both"/>
        <w:rPr>
          <w:rFonts w:eastAsia="Calibri"/>
          <w:sz w:val="36"/>
          <w:szCs w:val="36"/>
          <w:lang w:val="en-GB"/>
        </w:rPr>
      </w:pPr>
    </w:p>
    <w:p w:rsidR="00E525C7" w:rsidRPr="00E14EC8" w:rsidRDefault="00E525C7" w:rsidP="00E525C7">
      <w:pPr>
        <w:ind w:left="680" w:right="1128"/>
        <w:jc w:val="both"/>
        <w:rPr>
          <w:rFonts w:eastAsia="Calibri"/>
          <w:sz w:val="36"/>
          <w:szCs w:val="36"/>
          <w:lang w:val="en-GB"/>
        </w:rPr>
      </w:pPr>
    </w:p>
    <w:p w:rsidR="00E525C7" w:rsidRDefault="00E525C7" w:rsidP="00E525C7">
      <w:pPr>
        <w:ind w:left="680" w:right="1128"/>
        <w:jc w:val="both"/>
        <w:rPr>
          <w:rFonts w:eastAsia="Calibri"/>
          <w:sz w:val="36"/>
          <w:szCs w:val="36"/>
          <w:lang w:val="en-GB"/>
        </w:rPr>
      </w:pPr>
    </w:p>
    <w:p w:rsidR="00E525C7" w:rsidRDefault="00E525C7" w:rsidP="00E525C7">
      <w:pPr>
        <w:ind w:left="680" w:right="1128"/>
        <w:jc w:val="both"/>
        <w:rPr>
          <w:rFonts w:eastAsia="Calibri"/>
          <w:sz w:val="36"/>
          <w:szCs w:val="36"/>
          <w:lang w:val="en-GB"/>
        </w:rPr>
      </w:pPr>
    </w:p>
    <w:p w:rsidR="00E525C7" w:rsidRDefault="00E525C7" w:rsidP="00E525C7">
      <w:pPr>
        <w:ind w:right="1128"/>
        <w:jc w:val="both"/>
        <w:rPr>
          <w:rFonts w:eastAsia="Calibri"/>
          <w:sz w:val="36"/>
          <w:szCs w:val="36"/>
          <w:lang w:val="en-GB"/>
        </w:rPr>
      </w:pPr>
    </w:p>
    <w:p w:rsidR="00E525C7" w:rsidRPr="00E525C7" w:rsidRDefault="00E525C7" w:rsidP="00E525C7">
      <w:pPr>
        <w:rPr>
          <w:rFonts w:asciiTheme="majorBidi" w:hAnsiTheme="majorBidi" w:cstheme="majorBidi"/>
          <w:b/>
          <w:bCs/>
          <w:i/>
          <w:iCs/>
          <w:sz w:val="28"/>
          <w:szCs w:val="28"/>
          <w:lang w:val="en-GB"/>
        </w:rPr>
      </w:pPr>
      <w:r w:rsidRPr="00E14EC8">
        <w:rPr>
          <w:rFonts w:asciiTheme="majorBidi" w:eastAsia="Calibri" w:hAnsiTheme="majorBidi" w:cstheme="majorBidi"/>
          <w:lang w:val="en-GB"/>
        </w:rPr>
        <w:br w:type="textWrapping" w:clear="all"/>
      </w:r>
    </w:p>
    <w:p w:rsidR="00E525C7" w:rsidRPr="00CE406F" w:rsidRDefault="00E525C7">
      <w:pPr>
        <w:rPr>
          <w:lang w:val="en-GB"/>
        </w:rPr>
      </w:pPr>
    </w:p>
    <w:sectPr w:rsidR="00E525C7" w:rsidRPr="00CE4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442"/>
    <w:multiLevelType w:val="hybridMultilevel"/>
    <w:tmpl w:val="37867DC0"/>
    <w:lvl w:ilvl="0" w:tplc="6FF68A6E">
      <w:numFmt w:val="bullet"/>
      <w:lvlText w:val="•"/>
      <w:lvlJc w:val="left"/>
      <w:pPr>
        <w:ind w:left="720" w:hanging="360"/>
      </w:pPr>
      <w:rPr>
        <w:lang w:val="fr-FR" w:eastAsia="en-US" w:bidi="ar-SA"/>
      </w:rPr>
    </w:lvl>
    <w:lvl w:ilvl="1" w:tplc="3BBAA350" w:tentative="1">
      <w:start w:val="1"/>
      <w:numFmt w:val="bullet"/>
      <w:lvlText w:val="o"/>
      <w:lvlJc w:val="left"/>
      <w:pPr>
        <w:ind w:left="1440" w:hanging="360"/>
      </w:pPr>
      <w:rPr>
        <w:rFonts w:ascii="Courier New" w:hAnsi="Courier New" w:cs="Courier New" w:hint="default"/>
      </w:rPr>
    </w:lvl>
    <w:lvl w:ilvl="2" w:tplc="9F3ADF24" w:tentative="1">
      <w:start w:val="1"/>
      <w:numFmt w:val="bullet"/>
      <w:lvlText w:val=""/>
      <w:lvlJc w:val="left"/>
      <w:pPr>
        <w:ind w:left="2160" w:hanging="360"/>
      </w:pPr>
      <w:rPr>
        <w:rFonts w:ascii="Wingdings" w:hAnsi="Wingdings" w:hint="default"/>
      </w:rPr>
    </w:lvl>
    <w:lvl w:ilvl="3" w:tplc="FB14E2EC" w:tentative="1">
      <w:start w:val="1"/>
      <w:numFmt w:val="bullet"/>
      <w:lvlText w:val=""/>
      <w:lvlJc w:val="left"/>
      <w:pPr>
        <w:ind w:left="2880" w:hanging="360"/>
      </w:pPr>
      <w:rPr>
        <w:rFonts w:ascii="Symbol" w:hAnsi="Symbol" w:hint="default"/>
      </w:rPr>
    </w:lvl>
    <w:lvl w:ilvl="4" w:tplc="1D8609AE" w:tentative="1">
      <w:start w:val="1"/>
      <w:numFmt w:val="bullet"/>
      <w:lvlText w:val="o"/>
      <w:lvlJc w:val="left"/>
      <w:pPr>
        <w:ind w:left="3600" w:hanging="360"/>
      </w:pPr>
      <w:rPr>
        <w:rFonts w:ascii="Courier New" w:hAnsi="Courier New" w:cs="Courier New" w:hint="default"/>
      </w:rPr>
    </w:lvl>
    <w:lvl w:ilvl="5" w:tplc="93CEBCF4" w:tentative="1">
      <w:start w:val="1"/>
      <w:numFmt w:val="bullet"/>
      <w:lvlText w:val=""/>
      <w:lvlJc w:val="left"/>
      <w:pPr>
        <w:ind w:left="4320" w:hanging="360"/>
      </w:pPr>
      <w:rPr>
        <w:rFonts w:ascii="Wingdings" w:hAnsi="Wingdings" w:hint="default"/>
      </w:rPr>
    </w:lvl>
    <w:lvl w:ilvl="6" w:tplc="7E2E3DDC" w:tentative="1">
      <w:start w:val="1"/>
      <w:numFmt w:val="bullet"/>
      <w:lvlText w:val=""/>
      <w:lvlJc w:val="left"/>
      <w:pPr>
        <w:ind w:left="5040" w:hanging="360"/>
      </w:pPr>
      <w:rPr>
        <w:rFonts w:ascii="Symbol" w:hAnsi="Symbol" w:hint="default"/>
      </w:rPr>
    </w:lvl>
    <w:lvl w:ilvl="7" w:tplc="A448CF60" w:tentative="1">
      <w:start w:val="1"/>
      <w:numFmt w:val="bullet"/>
      <w:lvlText w:val="o"/>
      <w:lvlJc w:val="left"/>
      <w:pPr>
        <w:ind w:left="5760" w:hanging="360"/>
      </w:pPr>
      <w:rPr>
        <w:rFonts w:ascii="Courier New" w:hAnsi="Courier New" w:cs="Courier New" w:hint="default"/>
      </w:rPr>
    </w:lvl>
    <w:lvl w:ilvl="8" w:tplc="1BC82120" w:tentative="1">
      <w:start w:val="1"/>
      <w:numFmt w:val="bullet"/>
      <w:lvlText w:val=""/>
      <w:lvlJc w:val="left"/>
      <w:pPr>
        <w:ind w:left="6480" w:hanging="360"/>
      </w:pPr>
      <w:rPr>
        <w:rFonts w:ascii="Wingdings" w:hAnsi="Wingdings" w:hint="default"/>
      </w:rPr>
    </w:lvl>
  </w:abstractNum>
  <w:abstractNum w:abstractNumId="1" w15:restartNumberingAfterBreak="0">
    <w:nsid w:val="09621515"/>
    <w:multiLevelType w:val="hybridMultilevel"/>
    <w:tmpl w:val="BDC008E6"/>
    <w:lvl w:ilvl="0" w:tplc="1FECEEEC">
      <w:numFmt w:val="bullet"/>
      <w:lvlText w:val="•"/>
      <w:lvlJc w:val="left"/>
      <w:pPr>
        <w:ind w:left="720" w:hanging="360"/>
      </w:pPr>
      <w:rPr>
        <w:lang w:val="fr-FR" w:eastAsia="en-US" w:bidi="ar-SA"/>
      </w:rPr>
    </w:lvl>
    <w:lvl w:ilvl="1" w:tplc="80D87006" w:tentative="1">
      <w:start w:val="1"/>
      <w:numFmt w:val="bullet"/>
      <w:lvlText w:val="o"/>
      <w:lvlJc w:val="left"/>
      <w:pPr>
        <w:ind w:left="1440" w:hanging="360"/>
      </w:pPr>
      <w:rPr>
        <w:rFonts w:ascii="Courier New" w:hAnsi="Courier New" w:cs="Courier New" w:hint="default"/>
      </w:rPr>
    </w:lvl>
    <w:lvl w:ilvl="2" w:tplc="F9E2DC7E" w:tentative="1">
      <w:start w:val="1"/>
      <w:numFmt w:val="bullet"/>
      <w:lvlText w:val=""/>
      <w:lvlJc w:val="left"/>
      <w:pPr>
        <w:ind w:left="2160" w:hanging="360"/>
      </w:pPr>
      <w:rPr>
        <w:rFonts w:ascii="Wingdings" w:hAnsi="Wingdings" w:hint="default"/>
      </w:rPr>
    </w:lvl>
    <w:lvl w:ilvl="3" w:tplc="888E0F4C" w:tentative="1">
      <w:start w:val="1"/>
      <w:numFmt w:val="bullet"/>
      <w:lvlText w:val=""/>
      <w:lvlJc w:val="left"/>
      <w:pPr>
        <w:ind w:left="2880" w:hanging="360"/>
      </w:pPr>
      <w:rPr>
        <w:rFonts w:ascii="Symbol" w:hAnsi="Symbol" w:hint="default"/>
      </w:rPr>
    </w:lvl>
    <w:lvl w:ilvl="4" w:tplc="27741868" w:tentative="1">
      <w:start w:val="1"/>
      <w:numFmt w:val="bullet"/>
      <w:lvlText w:val="o"/>
      <w:lvlJc w:val="left"/>
      <w:pPr>
        <w:ind w:left="3600" w:hanging="360"/>
      </w:pPr>
      <w:rPr>
        <w:rFonts w:ascii="Courier New" w:hAnsi="Courier New" w:cs="Courier New" w:hint="default"/>
      </w:rPr>
    </w:lvl>
    <w:lvl w:ilvl="5" w:tplc="CFD4941A" w:tentative="1">
      <w:start w:val="1"/>
      <w:numFmt w:val="bullet"/>
      <w:lvlText w:val=""/>
      <w:lvlJc w:val="left"/>
      <w:pPr>
        <w:ind w:left="4320" w:hanging="360"/>
      </w:pPr>
      <w:rPr>
        <w:rFonts w:ascii="Wingdings" w:hAnsi="Wingdings" w:hint="default"/>
      </w:rPr>
    </w:lvl>
    <w:lvl w:ilvl="6" w:tplc="2F9270B4" w:tentative="1">
      <w:start w:val="1"/>
      <w:numFmt w:val="bullet"/>
      <w:lvlText w:val=""/>
      <w:lvlJc w:val="left"/>
      <w:pPr>
        <w:ind w:left="5040" w:hanging="360"/>
      </w:pPr>
      <w:rPr>
        <w:rFonts w:ascii="Symbol" w:hAnsi="Symbol" w:hint="default"/>
      </w:rPr>
    </w:lvl>
    <w:lvl w:ilvl="7" w:tplc="0830767C" w:tentative="1">
      <w:start w:val="1"/>
      <w:numFmt w:val="bullet"/>
      <w:lvlText w:val="o"/>
      <w:lvlJc w:val="left"/>
      <w:pPr>
        <w:ind w:left="5760" w:hanging="360"/>
      </w:pPr>
      <w:rPr>
        <w:rFonts w:ascii="Courier New" w:hAnsi="Courier New" w:cs="Courier New" w:hint="default"/>
      </w:rPr>
    </w:lvl>
    <w:lvl w:ilvl="8" w:tplc="DB2CB55E" w:tentative="1">
      <w:start w:val="1"/>
      <w:numFmt w:val="bullet"/>
      <w:lvlText w:val=""/>
      <w:lvlJc w:val="left"/>
      <w:pPr>
        <w:ind w:left="6480" w:hanging="360"/>
      </w:pPr>
      <w:rPr>
        <w:rFonts w:ascii="Wingdings" w:hAnsi="Wingdings" w:hint="default"/>
      </w:rPr>
    </w:lvl>
  </w:abstractNum>
  <w:abstractNum w:abstractNumId="2" w15:restartNumberingAfterBreak="0">
    <w:nsid w:val="0B2D74D7"/>
    <w:multiLevelType w:val="hybridMultilevel"/>
    <w:tmpl w:val="54E8AFB4"/>
    <w:lvl w:ilvl="0" w:tplc="FC947CE6">
      <w:start w:val="1"/>
      <w:numFmt w:val="upperRoman"/>
      <w:lvlText w:val="%1."/>
      <w:lvlJc w:val="left"/>
      <w:pPr>
        <w:ind w:left="1080" w:hanging="720"/>
      </w:pPr>
      <w:rPr>
        <w:rFonts w:hint="default"/>
        <w:color w:val="1F3864" w:themeColor="accent1" w:themeShade="80"/>
      </w:rPr>
    </w:lvl>
    <w:lvl w:ilvl="1" w:tplc="E27A03FC">
      <w:start w:val="1"/>
      <w:numFmt w:val="lowerLetter"/>
      <w:lvlText w:val="%2."/>
      <w:lvlJc w:val="left"/>
      <w:pPr>
        <w:ind w:left="1440" w:hanging="360"/>
      </w:pPr>
      <w:rPr>
        <w:rFonts w:hint="default"/>
      </w:rPr>
    </w:lvl>
    <w:lvl w:ilvl="2" w:tplc="2CDA0B5C" w:tentative="1">
      <w:start w:val="1"/>
      <w:numFmt w:val="lowerRoman"/>
      <w:lvlText w:val="%3."/>
      <w:lvlJc w:val="right"/>
      <w:pPr>
        <w:ind w:left="2160" w:hanging="180"/>
      </w:pPr>
    </w:lvl>
    <w:lvl w:ilvl="3" w:tplc="36CC93BC" w:tentative="1">
      <w:start w:val="1"/>
      <w:numFmt w:val="decimal"/>
      <w:lvlText w:val="%4."/>
      <w:lvlJc w:val="left"/>
      <w:pPr>
        <w:ind w:left="2880" w:hanging="360"/>
      </w:pPr>
    </w:lvl>
    <w:lvl w:ilvl="4" w:tplc="F8EADF28" w:tentative="1">
      <w:start w:val="1"/>
      <w:numFmt w:val="lowerLetter"/>
      <w:lvlText w:val="%5."/>
      <w:lvlJc w:val="left"/>
      <w:pPr>
        <w:ind w:left="3600" w:hanging="360"/>
      </w:pPr>
    </w:lvl>
    <w:lvl w:ilvl="5" w:tplc="9F7CFE6E" w:tentative="1">
      <w:start w:val="1"/>
      <w:numFmt w:val="lowerRoman"/>
      <w:lvlText w:val="%6."/>
      <w:lvlJc w:val="right"/>
      <w:pPr>
        <w:ind w:left="4320" w:hanging="180"/>
      </w:pPr>
    </w:lvl>
    <w:lvl w:ilvl="6" w:tplc="52B43854" w:tentative="1">
      <w:start w:val="1"/>
      <w:numFmt w:val="decimal"/>
      <w:lvlText w:val="%7."/>
      <w:lvlJc w:val="left"/>
      <w:pPr>
        <w:ind w:left="5040" w:hanging="360"/>
      </w:pPr>
    </w:lvl>
    <w:lvl w:ilvl="7" w:tplc="7736B4CA" w:tentative="1">
      <w:start w:val="1"/>
      <w:numFmt w:val="lowerLetter"/>
      <w:lvlText w:val="%8."/>
      <w:lvlJc w:val="left"/>
      <w:pPr>
        <w:ind w:left="5760" w:hanging="360"/>
      </w:pPr>
    </w:lvl>
    <w:lvl w:ilvl="8" w:tplc="2E0A7F62" w:tentative="1">
      <w:start w:val="1"/>
      <w:numFmt w:val="lowerRoman"/>
      <w:lvlText w:val="%9."/>
      <w:lvlJc w:val="right"/>
      <w:pPr>
        <w:ind w:left="6480" w:hanging="180"/>
      </w:pPr>
    </w:lvl>
  </w:abstractNum>
  <w:abstractNum w:abstractNumId="3" w15:restartNumberingAfterBreak="0">
    <w:nsid w:val="1B763E5B"/>
    <w:multiLevelType w:val="hybridMultilevel"/>
    <w:tmpl w:val="92A6593E"/>
    <w:lvl w:ilvl="0" w:tplc="4A9C9D50">
      <w:numFmt w:val="bullet"/>
      <w:lvlText w:val="•"/>
      <w:lvlJc w:val="left"/>
      <w:pPr>
        <w:ind w:left="720" w:hanging="360"/>
      </w:pPr>
      <w:rPr>
        <w:lang w:val="fr-FR" w:eastAsia="en-US" w:bidi="ar-SA"/>
      </w:rPr>
    </w:lvl>
    <w:lvl w:ilvl="1" w:tplc="975ACD92" w:tentative="1">
      <w:start w:val="1"/>
      <w:numFmt w:val="bullet"/>
      <w:lvlText w:val="o"/>
      <w:lvlJc w:val="left"/>
      <w:pPr>
        <w:ind w:left="1440" w:hanging="360"/>
      </w:pPr>
      <w:rPr>
        <w:rFonts w:ascii="Courier New" w:hAnsi="Courier New" w:cs="Courier New" w:hint="default"/>
      </w:rPr>
    </w:lvl>
    <w:lvl w:ilvl="2" w:tplc="154EC624" w:tentative="1">
      <w:start w:val="1"/>
      <w:numFmt w:val="bullet"/>
      <w:lvlText w:val=""/>
      <w:lvlJc w:val="left"/>
      <w:pPr>
        <w:ind w:left="2160" w:hanging="360"/>
      </w:pPr>
      <w:rPr>
        <w:rFonts w:ascii="Wingdings" w:hAnsi="Wingdings" w:hint="default"/>
      </w:rPr>
    </w:lvl>
    <w:lvl w:ilvl="3" w:tplc="0E70638E" w:tentative="1">
      <w:start w:val="1"/>
      <w:numFmt w:val="bullet"/>
      <w:lvlText w:val=""/>
      <w:lvlJc w:val="left"/>
      <w:pPr>
        <w:ind w:left="2880" w:hanging="360"/>
      </w:pPr>
      <w:rPr>
        <w:rFonts w:ascii="Symbol" w:hAnsi="Symbol" w:hint="default"/>
      </w:rPr>
    </w:lvl>
    <w:lvl w:ilvl="4" w:tplc="946EE288" w:tentative="1">
      <w:start w:val="1"/>
      <w:numFmt w:val="bullet"/>
      <w:lvlText w:val="o"/>
      <w:lvlJc w:val="left"/>
      <w:pPr>
        <w:ind w:left="3600" w:hanging="360"/>
      </w:pPr>
      <w:rPr>
        <w:rFonts w:ascii="Courier New" w:hAnsi="Courier New" w:cs="Courier New" w:hint="default"/>
      </w:rPr>
    </w:lvl>
    <w:lvl w:ilvl="5" w:tplc="044416D0" w:tentative="1">
      <w:start w:val="1"/>
      <w:numFmt w:val="bullet"/>
      <w:lvlText w:val=""/>
      <w:lvlJc w:val="left"/>
      <w:pPr>
        <w:ind w:left="4320" w:hanging="360"/>
      </w:pPr>
      <w:rPr>
        <w:rFonts w:ascii="Wingdings" w:hAnsi="Wingdings" w:hint="default"/>
      </w:rPr>
    </w:lvl>
    <w:lvl w:ilvl="6" w:tplc="6CAC5B1E" w:tentative="1">
      <w:start w:val="1"/>
      <w:numFmt w:val="bullet"/>
      <w:lvlText w:val=""/>
      <w:lvlJc w:val="left"/>
      <w:pPr>
        <w:ind w:left="5040" w:hanging="360"/>
      </w:pPr>
      <w:rPr>
        <w:rFonts w:ascii="Symbol" w:hAnsi="Symbol" w:hint="default"/>
      </w:rPr>
    </w:lvl>
    <w:lvl w:ilvl="7" w:tplc="255240A8" w:tentative="1">
      <w:start w:val="1"/>
      <w:numFmt w:val="bullet"/>
      <w:lvlText w:val="o"/>
      <w:lvlJc w:val="left"/>
      <w:pPr>
        <w:ind w:left="5760" w:hanging="360"/>
      </w:pPr>
      <w:rPr>
        <w:rFonts w:ascii="Courier New" w:hAnsi="Courier New" w:cs="Courier New" w:hint="default"/>
      </w:rPr>
    </w:lvl>
    <w:lvl w:ilvl="8" w:tplc="D0C23C40" w:tentative="1">
      <w:start w:val="1"/>
      <w:numFmt w:val="bullet"/>
      <w:lvlText w:val=""/>
      <w:lvlJc w:val="left"/>
      <w:pPr>
        <w:ind w:left="6480" w:hanging="360"/>
      </w:pPr>
      <w:rPr>
        <w:rFonts w:ascii="Wingdings" w:hAnsi="Wingdings" w:hint="default"/>
      </w:rPr>
    </w:lvl>
  </w:abstractNum>
  <w:abstractNum w:abstractNumId="4" w15:restartNumberingAfterBreak="0">
    <w:nsid w:val="3056089A"/>
    <w:multiLevelType w:val="hybridMultilevel"/>
    <w:tmpl w:val="4C6E9F58"/>
    <w:lvl w:ilvl="0" w:tplc="72BE414C">
      <w:numFmt w:val="bullet"/>
      <w:lvlText w:val="•"/>
      <w:lvlJc w:val="left"/>
      <w:pPr>
        <w:ind w:left="720" w:hanging="360"/>
      </w:pPr>
      <w:rPr>
        <w:lang w:val="fr-FR" w:eastAsia="en-US" w:bidi="ar-SA"/>
      </w:rPr>
    </w:lvl>
    <w:lvl w:ilvl="1" w:tplc="94064F32" w:tentative="1">
      <w:start w:val="1"/>
      <w:numFmt w:val="bullet"/>
      <w:lvlText w:val="o"/>
      <w:lvlJc w:val="left"/>
      <w:pPr>
        <w:ind w:left="1440" w:hanging="360"/>
      </w:pPr>
      <w:rPr>
        <w:rFonts w:ascii="Courier New" w:hAnsi="Courier New" w:cs="Courier New" w:hint="default"/>
      </w:rPr>
    </w:lvl>
    <w:lvl w:ilvl="2" w:tplc="8A2639AC" w:tentative="1">
      <w:start w:val="1"/>
      <w:numFmt w:val="bullet"/>
      <w:lvlText w:val=""/>
      <w:lvlJc w:val="left"/>
      <w:pPr>
        <w:ind w:left="2160" w:hanging="360"/>
      </w:pPr>
      <w:rPr>
        <w:rFonts w:ascii="Wingdings" w:hAnsi="Wingdings" w:hint="default"/>
      </w:rPr>
    </w:lvl>
    <w:lvl w:ilvl="3" w:tplc="CBFC417A" w:tentative="1">
      <w:start w:val="1"/>
      <w:numFmt w:val="bullet"/>
      <w:lvlText w:val=""/>
      <w:lvlJc w:val="left"/>
      <w:pPr>
        <w:ind w:left="2880" w:hanging="360"/>
      </w:pPr>
      <w:rPr>
        <w:rFonts w:ascii="Symbol" w:hAnsi="Symbol" w:hint="default"/>
      </w:rPr>
    </w:lvl>
    <w:lvl w:ilvl="4" w:tplc="43709958" w:tentative="1">
      <w:start w:val="1"/>
      <w:numFmt w:val="bullet"/>
      <w:lvlText w:val="o"/>
      <w:lvlJc w:val="left"/>
      <w:pPr>
        <w:ind w:left="3600" w:hanging="360"/>
      </w:pPr>
      <w:rPr>
        <w:rFonts w:ascii="Courier New" w:hAnsi="Courier New" w:cs="Courier New" w:hint="default"/>
      </w:rPr>
    </w:lvl>
    <w:lvl w:ilvl="5" w:tplc="6804BC6A" w:tentative="1">
      <w:start w:val="1"/>
      <w:numFmt w:val="bullet"/>
      <w:lvlText w:val=""/>
      <w:lvlJc w:val="left"/>
      <w:pPr>
        <w:ind w:left="4320" w:hanging="360"/>
      </w:pPr>
      <w:rPr>
        <w:rFonts w:ascii="Wingdings" w:hAnsi="Wingdings" w:hint="default"/>
      </w:rPr>
    </w:lvl>
    <w:lvl w:ilvl="6" w:tplc="D04EF868" w:tentative="1">
      <w:start w:val="1"/>
      <w:numFmt w:val="bullet"/>
      <w:lvlText w:val=""/>
      <w:lvlJc w:val="left"/>
      <w:pPr>
        <w:ind w:left="5040" w:hanging="360"/>
      </w:pPr>
      <w:rPr>
        <w:rFonts w:ascii="Symbol" w:hAnsi="Symbol" w:hint="default"/>
      </w:rPr>
    </w:lvl>
    <w:lvl w:ilvl="7" w:tplc="416050F2" w:tentative="1">
      <w:start w:val="1"/>
      <w:numFmt w:val="bullet"/>
      <w:lvlText w:val="o"/>
      <w:lvlJc w:val="left"/>
      <w:pPr>
        <w:ind w:left="5760" w:hanging="360"/>
      </w:pPr>
      <w:rPr>
        <w:rFonts w:ascii="Courier New" w:hAnsi="Courier New" w:cs="Courier New" w:hint="default"/>
      </w:rPr>
    </w:lvl>
    <w:lvl w:ilvl="8" w:tplc="E1E82A72" w:tentative="1">
      <w:start w:val="1"/>
      <w:numFmt w:val="bullet"/>
      <w:lvlText w:val=""/>
      <w:lvlJc w:val="left"/>
      <w:pPr>
        <w:ind w:left="6480" w:hanging="360"/>
      </w:pPr>
      <w:rPr>
        <w:rFonts w:ascii="Wingdings" w:hAnsi="Wingdings" w:hint="default"/>
      </w:rPr>
    </w:lvl>
  </w:abstractNum>
  <w:abstractNum w:abstractNumId="5" w15:restartNumberingAfterBreak="0">
    <w:nsid w:val="46A73A7E"/>
    <w:multiLevelType w:val="hybridMultilevel"/>
    <w:tmpl w:val="4B707470"/>
    <w:lvl w:ilvl="0" w:tplc="8C8EA37C">
      <w:numFmt w:val="bullet"/>
      <w:lvlText w:val=""/>
      <w:lvlJc w:val="left"/>
      <w:pPr>
        <w:ind w:left="90" w:hanging="360"/>
      </w:pPr>
      <w:rPr>
        <w:rFonts w:ascii="Symbol" w:eastAsia="Times New Roman" w:hAnsi="Symbol" w:cstheme="majorBidi" w:hint="default"/>
      </w:rPr>
    </w:lvl>
    <w:lvl w:ilvl="1" w:tplc="040C0003" w:tentative="1">
      <w:start w:val="1"/>
      <w:numFmt w:val="bullet"/>
      <w:lvlText w:val="o"/>
      <w:lvlJc w:val="left"/>
      <w:pPr>
        <w:ind w:left="810" w:hanging="360"/>
      </w:pPr>
      <w:rPr>
        <w:rFonts w:ascii="Courier New" w:hAnsi="Courier New" w:cs="Courier New" w:hint="default"/>
      </w:rPr>
    </w:lvl>
    <w:lvl w:ilvl="2" w:tplc="040C0005" w:tentative="1">
      <w:start w:val="1"/>
      <w:numFmt w:val="bullet"/>
      <w:lvlText w:val=""/>
      <w:lvlJc w:val="left"/>
      <w:pPr>
        <w:ind w:left="1530" w:hanging="360"/>
      </w:pPr>
      <w:rPr>
        <w:rFonts w:ascii="Wingdings" w:hAnsi="Wingdings" w:hint="default"/>
      </w:rPr>
    </w:lvl>
    <w:lvl w:ilvl="3" w:tplc="040C0001" w:tentative="1">
      <w:start w:val="1"/>
      <w:numFmt w:val="bullet"/>
      <w:lvlText w:val=""/>
      <w:lvlJc w:val="left"/>
      <w:pPr>
        <w:ind w:left="2250" w:hanging="360"/>
      </w:pPr>
      <w:rPr>
        <w:rFonts w:ascii="Symbol" w:hAnsi="Symbol" w:hint="default"/>
      </w:rPr>
    </w:lvl>
    <w:lvl w:ilvl="4" w:tplc="040C0003" w:tentative="1">
      <w:start w:val="1"/>
      <w:numFmt w:val="bullet"/>
      <w:lvlText w:val="o"/>
      <w:lvlJc w:val="left"/>
      <w:pPr>
        <w:ind w:left="2970" w:hanging="360"/>
      </w:pPr>
      <w:rPr>
        <w:rFonts w:ascii="Courier New" w:hAnsi="Courier New" w:cs="Courier New" w:hint="default"/>
      </w:rPr>
    </w:lvl>
    <w:lvl w:ilvl="5" w:tplc="040C0005" w:tentative="1">
      <w:start w:val="1"/>
      <w:numFmt w:val="bullet"/>
      <w:lvlText w:val=""/>
      <w:lvlJc w:val="left"/>
      <w:pPr>
        <w:ind w:left="3690" w:hanging="360"/>
      </w:pPr>
      <w:rPr>
        <w:rFonts w:ascii="Wingdings" w:hAnsi="Wingdings" w:hint="default"/>
      </w:rPr>
    </w:lvl>
    <w:lvl w:ilvl="6" w:tplc="040C0001" w:tentative="1">
      <w:start w:val="1"/>
      <w:numFmt w:val="bullet"/>
      <w:lvlText w:val=""/>
      <w:lvlJc w:val="left"/>
      <w:pPr>
        <w:ind w:left="4410" w:hanging="360"/>
      </w:pPr>
      <w:rPr>
        <w:rFonts w:ascii="Symbol" w:hAnsi="Symbol" w:hint="default"/>
      </w:rPr>
    </w:lvl>
    <w:lvl w:ilvl="7" w:tplc="040C0003" w:tentative="1">
      <w:start w:val="1"/>
      <w:numFmt w:val="bullet"/>
      <w:lvlText w:val="o"/>
      <w:lvlJc w:val="left"/>
      <w:pPr>
        <w:ind w:left="5130" w:hanging="360"/>
      </w:pPr>
      <w:rPr>
        <w:rFonts w:ascii="Courier New" w:hAnsi="Courier New" w:cs="Courier New" w:hint="default"/>
      </w:rPr>
    </w:lvl>
    <w:lvl w:ilvl="8" w:tplc="040C0005" w:tentative="1">
      <w:start w:val="1"/>
      <w:numFmt w:val="bullet"/>
      <w:lvlText w:val=""/>
      <w:lvlJc w:val="left"/>
      <w:pPr>
        <w:ind w:left="5850" w:hanging="360"/>
      </w:pPr>
      <w:rPr>
        <w:rFonts w:ascii="Wingdings" w:hAnsi="Wingdings" w:hint="default"/>
      </w:rPr>
    </w:lvl>
  </w:abstractNum>
  <w:abstractNum w:abstractNumId="6" w15:restartNumberingAfterBreak="0">
    <w:nsid w:val="60306748"/>
    <w:multiLevelType w:val="hybridMultilevel"/>
    <w:tmpl w:val="58C6399C"/>
    <w:lvl w:ilvl="0" w:tplc="179286EA">
      <w:numFmt w:val="bullet"/>
      <w:lvlText w:val="•"/>
      <w:lvlJc w:val="left"/>
      <w:pPr>
        <w:ind w:left="720" w:hanging="360"/>
      </w:pPr>
      <w:rPr>
        <w:lang w:val="fr-FR" w:eastAsia="en-US" w:bidi="ar-SA"/>
      </w:rPr>
    </w:lvl>
    <w:lvl w:ilvl="1" w:tplc="395600B4" w:tentative="1">
      <w:start w:val="1"/>
      <w:numFmt w:val="bullet"/>
      <w:lvlText w:val="o"/>
      <w:lvlJc w:val="left"/>
      <w:pPr>
        <w:ind w:left="1440" w:hanging="360"/>
      </w:pPr>
      <w:rPr>
        <w:rFonts w:ascii="Courier New" w:hAnsi="Courier New" w:cs="Courier New" w:hint="default"/>
      </w:rPr>
    </w:lvl>
    <w:lvl w:ilvl="2" w:tplc="7B46A6FA" w:tentative="1">
      <w:start w:val="1"/>
      <w:numFmt w:val="bullet"/>
      <w:lvlText w:val=""/>
      <w:lvlJc w:val="left"/>
      <w:pPr>
        <w:ind w:left="2160" w:hanging="360"/>
      </w:pPr>
      <w:rPr>
        <w:rFonts w:ascii="Wingdings" w:hAnsi="Wingdings" w:hint="default"/>
      </w:rPr>
    </w:lvl>
    <w:lvl w:ilvl="3" w:tplc="5E28805A" w:tentative="1">
      <w:start w:val="1"/>
      <w:numFmt w:val="bullet"/>
      <w:lvlText w:val=""/>
      <w:lvlJc w:val="left"/>
      <w:pPr>
        <w:ind w:left="2880" w:hanging="360"/>
      </w:pPr>
      <w:rPr>
        <w:rFonts w:ascii="Symbol" w:hAnsi="Symbol" w:hint="default"/>
      </w:rPr>
    </w:lvl>
    <w:lvl w:ilvl="4" w:tplc="9646A61C" w:tentative="1">
      <w:start w:val="1"/>
      <w:numFmt w:val="bullet"/>
      <w:lvlText w:val="o"/>
      <w:lvlJc w:val="left"/>
      <w:pPr>
        <w:ind w:left="3600" w:hanging="360"/>
      </w:pPr>
      <w:rPr>
        <w:rFonts w:ascii="Courier New" w:hAnsi="Courier New" w:cs="Courier New" w:hint="default"/>
      </w:rPr>
    </w:lvl>
    <w:lvl w:ilvl="5" w:tplc="F11C4100" w:tentative="1">
      <w:start w:val="1"/>
      <w:numFmt w:val="bullet"/>
      <w:lvlText w:val=""/>
      <w:lvlJc w:val="left"/>
      <w:pPr>
        <w:ind w:left="4320" w:hanging="360"/>
      </w:pPr>
      <w:rPr>
        <w:rFonts w:ascii="Wingdings" w:hAnsi="Wingdings" w:hint="default"/>
      </w:rPr>
    </w:lvl>
    <w:lvl w:ilvl="6" w:tplc="24B219AC" w:tentative="1">
      <w:start w:val="1"/>
      <w:numFmt w:val="bullet"/>
      <w:lvlText w:val=""/>
      <w:lvlJc w:val="left"/>
      <w:pPr>
        <w:ind w:left="5040" w:hanging="360"/>
      </w:pPr>
      <w:rPr>
        <w:rFonts w:ascii="Symbol" w:hAnsi="Symbol" w:hint="default"/>
      </w:rPr>
    </w:lvl>
    <w:lvl w:ilvl="7" w:tplc="4D9EFA70" w:tentative="1">
      <w:start w:val="1"/>
      <w:numFmt w:val="bullet"/>
      <w:lvlText w:val="o"/>
      <w:lvlJc w:val="left"/>
      <w:pPr>
        <w:ind w:left="5760" w:hanging="360"/>
      </w:pPr>
      <w:rPr>
        <w:rFonts w:ascii="Courier New" w:hAnsi="Courier New" w:cs="Courier New" w:hint="default"/>
      </w:rPr>
    </w:lvl>
    <w:lvl w:ilvl="8" w:tplc="3B86F8E4" w:tentative="1">
      <w:start w:val="1"/>
      <w:numFmt w:val="bullet"/>
      <w:lvlText w:val=""/>
      <w:lvlJc w:val="left"/>
      <w:pPr>
        <w:ind w:left="6480" w:hanging="360"/>
      </w:pPr>
      <w:rPr>
        <w:rFonts w:ascii="Wingdings" w:hAnsi="Wingdings" w:hint="default"/>
      </w:rPr>
    </w:lvl>
  </w:abstractNum>
  <w:abstractNum w:abstractNumId="7" w15:restartNumberingAfterBreak="0">
    <w:nsid w:val="62B74251"/>
    <w:multiLevelType w:val="hybridMultilevel"/>
    <w:tmpl w:val="26027714"/>
    <w:lvl w:ilvl="0" w:tplc="18CA6B2C">
      <w:numFmt w:val="bullet"/>
      <w:lvlText w:val="•"/>
      <w:lvlJc w:val="left"/>
      <w:pPr>
        <w:ind w:left="720" w:hanging="360"/>
      </w:pPr>
      <w:rPr>
        <w:lang w:val="fr-FR" w:eastAsia="en-US" w:bidi="ar-SA"/>
      </w:rPr>
    </w:lvl>
    <w:lvl w:ilvl="1" w:tplc="F0C0746E" w:tentative="1">
      <w:start w:val="1"/>
      <w:numFmt w:val="bullet"/>
      <w:lvlText w:val="o"/>
      <w:lvlJc w:val="left"/>
      <w:pPr>
        <w:ind w:left="1440" w:hanging="360"/>
      </w:pPr>
      <w:rPr>
        <w:rFonts w:ascii="Courier New" w:hAnsi="Courier New" w:cs="Courier New" w:hint="default"/>
      </w:rPr>
    </w:lvl>
    <w:lvl w:ilvl="2" w:tplc="FD28A2E6" w:tentative="1">
      <w:start w:val="1"/>
      <w:numFmt w:val="bullet"/>
      <w:lvlText w:val=""/>
      <w:lvlJc w:val="left"/>
      <w:pPr>
        <w:ind w:left="2160" w:hanging="360"/>
      </w:pPr>
      <w:rPr>
        <w:rFonts w:ascii="Wingdings" w:hAnsi="Wingdings" w:hint="default"/>
      </w:rPr>
    </w:lvl>
    <w:lvl w:ilvl="3" w:tplc="BFFEF1B6" w:tentative="1">
      <w:start w:val="1"/>
      <w:numFmt w:val="bullet"/>
      <w:lvlText w:val=""/>
      <w:lvlJc w:val="left"/>
      <w:pPr>
        <w:ind w:left="2880" w:hanging="360"/>
      </w:pPr>
      <w:rPr>
        <w:rFonts w:ascii="Symbol" w:hAnsi="Symbol" w:hint="default"/>
      </w:rPr>
    </w:lvl>
    <w:lvl w:ilvl="4" w:tplc="6F82268E" w:tentative="1">
      <w:start w:val="1"/>
      <w:numFmt w:val="bullet"/>
      <w:lvlText w:val="o"/>
      <w:lvlJc w:val="left"/>
      <w:pPr>
        <w:ind w:left="3600" w:hanging="360"/>
      </w:pPr>
      <w:rPr>
        <w:rFonts w:ascii="Courier New" w:hAnsi="Courier New" w:cs="Courier New" w:hint="default"/>
      </w:rPr>
    </w:lvl>
    <w:lvl w:ilvl="5" w:tplc="7C843E24" w:tentative="1">
      <w:start w:val="1"/>
      <w:numFmt w:val="bullet"/>
      <w:lvlText w:val=""/>
      <w:lvlJc w:val="left"/>
      <w:pPr>
        <w:ind w:left="4320" w:hanging="360"/>
      </w:pPr>
      <w:rPr>
        <w:rFonts w:ascii="Wingdings" w:hAnsi="Wingdings" w:hint="default"/>
      </w:rPr>
    </w:lvl>
    <w:lvl w:ilvl="6" w:tplc="3BAECFC6" w:tentative="1">
      <w:start w:val="1"/>
      <w:numFmt w:val="bullet"/>
      <w:lvlText w:val=""/>
      <w:lvlJc w:val="left"/>
      <w:pPr>
        <w:ind w:left="5040" w:hanging="360"/>
      </w:pPr>
      <w:rPr>
        <w:rFonts w:ascii="Symbol" w:hAnsi="Symbol" w:hint="default"/>
      </w:rPr>
    </w:lvl>
    <w:lvl w:ilvl="7" w:tplc="9260E66C" w:tentative="1">
      <w:start w:val="1"/>
      <w:numFmt w:val="bullet"/>
      <w:lvlText w:val="o"/>
      <w:lvlJc w:val="left"/>
      <w:pPr>
        <w:ind w:left="5760" w:hanging="360"/>
      </w:pPr>
      <w:rPr>
        <w:rFonts w:ascii="Courier New" w:hAnsi="Courier New" w:cs="Courier New" w:hint="default"/>
      </w:rPr>
    </w:lvl>
    <w:lvl w:ilvl="8" w:tplc="47DA07E6" w:tentative="1">
      <w:start w:val="1"/>
      <w:numFmt w:val="bullet"/>
      <w:lvlText w:val=""/>
      <w:lvlJc w:val="left"/>
      <w:pPr>
        <w:ind w:left="6480" w:hanging="360"/>
      </w:pPr>
      <w:rPr>
        <w:rFonts w:ascii="Wingdings" w:hAnsi="Wingdings" w:hint="default"/>
      </w:rPr>
    </w:lvl>
  </w:abstractNum>
  <w:abstractNum w:abstractNumId="8" w15:restartNumberingAfterBreak="0">
    <w:nsid w:val="64CF264B"/>
    <w:multiLevelType w:val="hybridMultilevel"/>
    <w:tmpl w:val="5720BD7C"/>
    <w:lvl w:ilvl="0" w:tplc="D8FCEA86">
      <w:numFmt w:val="bullet"/>
      <w:lvlText w:val="•"/>
      <w:lvlJc w:val="left"/>
      <w:pPr>
        <w:ind w:left="720" w:hanging="360"/>
      </w:pPr>
      <w:rPr>
        <w:lang w:val="fr-FR" w:eastAsia="en-US" w:bidi="ar-SA"/>
      </w:rPr>
    </w:lvl>
    <w:lvl w:ilvl="1" w:tplc="B16E388E" w:tentative="1">
      <w:start w:val="1"/>
      <w:numFmt w:val="bullet"/>
      <w:lvlText w:val="o"/>
      <w:lvlJc w:val="left"/>
      <w:pPr>
        <w:ind w:left="1440" w:hanging="360"/>
      </w:pPr>
      <w:rPr>
        <w:rFonts w:ascii="Courier New" w:hAnsi="Courier New" w:cs="Courier New" w:hint="default"/>
      </w:rPr>
    </w:lvl>
    <w:lvl w:ilvl="2" w:tplc="14C2BA2E" w:tentative="1">
      <w:start w:val="1"/>
      <w:numFmt w:val="bullet"/>
      <w:lvlText w:val=""/>
      <w:lvlJc w:val="left"/>
      <w:pPr>
        <w:ind w:left="2160" w:hanging="360"/>
      </w:pPr>
      <w:rPr>
        <w:rFonts w:ascii="Wingdings" w:hAnsi="Wingdings" w:hint="default"/>
      </w:rPr>
    </w:lvl>
    <w:lvl w:ilvl="3" w:tplc="0CD81C22" w:tentative="1">
      <w:start w:val="1"/>
      <w:numFmt w:val="bullet"/>
      <w:lvlText w:val=""/>
      <w:lvlJc w:val="left"/>
      <w:pPr>
        <w:ind w:left="2880" w:hanging="360"/>
      </w:pPr>
      <w:rPr>
        <w:rFonts w:ascii="Symbol" w:hAnsi="Symbol" w:hint="default"/>
      </w:rPr>
    </w:lvl>
    <w:lvl w:ilvl="4" w:tplc="CCCC3968" w:tentative="1">
      <w:start w:val="1"/>
      <w:numFmt w:val="bullet"/>
      <w:lvlText w:val="o"/>
      <w:lvlJc w:val="left"/>
      <w:pPr>
        <w:ind w:left="3600" w:hanging="360"/>
      </w:pPr>
      <w:rPr>
        <w:rFonts w:ascii="Courier New" w:hAnsi="Courier New" w:cs="Courier New" w:hint="default"/>
      </w:rPr>
    </w:lvl>
    <w:lvl w:ilvl="5" w:tplc="C09A7952" w:tentative="1">
      <w:start w:val="1"/>
      <w:numFmt w:val="bullet"/>
      <w:lvlText w:val=""/>
      <w:lvlJc w:val="left"/>
      <w:pPr>
        <w:ind w:left="4320" w:hanging="360"/>
      </w:pPr>
      <w:rPr>
        <w:rFonts w:ascii="Wingdings" w:hAnsi="Wingdings" w:hint="default"/>
      </w:rPr>
    </w:lvl>
    <w:lvl w:ilvl="6" w:tplc="AFB8A3EA" w:tentative="1">
      <w:start w:val="1"/>
      <w:numFmt w:val="bullet"/>
      <w:lvlText w:val=""/>
      <w:lvlJc w:val="left"/>
      <w:pPr>
        <w:ind w:left="5040" w:hanging="360"/>
      </w:pPr>
      <w:rPr>
        <w:rFonts w:ascii="Symbol" w:hAnsi="Symbol" w:hint="default"/>
      </w:rPr>
    </w:lvl>
    <w:lvl w:ilvl="7" w:tplc="C12AE9F6" w:tentative="1">
      <w:start w:val="1"/>
      <w:numFmt w:val="bullet"/>
      <w:lvlText w:val="o"/>
      <w:lvlJc w:val="left"/>
      <w:pPr>
        <w:ind w:left="5760" w:hanging="360"/>
      </w:pPr>
      <w:rPr>
        <w:rFonts w:ascii="Courier New" w:hAnsi="Courier New" w:cs="Courier New" w:hint="default"/>
      </w:rPr>
    </w:lvl>
    <w:lvl w:ilvl="8" w:tplc="0A8044CE" w:tentative="1">
      <w:start w:val="1"/>
      <w:numFmt w:val="bullet"/>
      <w:lvlText w:val=""/>
      <w:lvlJc w:val="left"/>
      <w:pPr>
        <w:ind w:left="6480" w:hanging="360"/>
      </w:pPr>
      <w:rPr>
        <w:rFonts w:ascii="Wingdings" w:hAnsi="Wingdings" w:hint="default"/>
      </w:rPr>
    </w:lvl>
  </w:abstractNum>
  <w:abstractNum w:abstractNumId="9" w15:restartNumberingAfterBreak="0">
    <w:nsid w:val="681F3F44"/>
    <w:multiLevelType w:val="hybridMultilevel"/>
    <w:tmpl w:val="F2BA858A"/>
    <w:lvl w:ilvl="0" w:tplc="6068EC20">
      <w:start w:val="1"/>
      <w:numFmt w:val="decimal"/>
      <w:lvlText w:val="%1."/>
      <w:lvlJc w:val="left"/>
      <w:pPr>
        <w:ind w:left="1040" w:hanging="360"/>
      </w:pPr>
      <w:rPr>
        <w:rFonts w:asciiTheme="majorBidi" w:eastAsiaTheme="minorHAnsi" w:hAnsiTheme="majorBidi" w:cstheme="majorBidi"/>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num w:numId="1">
    <w:abstractNumId w:val="9"/>
  </w:num>
  <w:num w:numId="2">
    <w:abstractNumId w:val="3"/>
  </w:num>
  <w:num w:numId="3">
    <w:abstractNumId w:val="6"/>
  </w:num>
  <w:num w:numId="4">
    <w:abstractNumId w:val="1"/>
  </w:num>
  <w:num w:numId="5">
    <w:abstractNumId w:val="7"/>
  </w:num>
  <w:num w:numId="6">
    <w:abstractNumId w:val="4"/>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6F"/>
    <w:rsid w:val="000E6EF0"/>
    <w:rsid w:val="00165130"/>
    <w:rsid w:val="00451499"/>
    <w:rsid w:val="005229AC"/>
    <w:rsid w:val="006B2B0F"/>
    <w:rsid w:val="00724AF2"/>
    <w:rsid w:val="00803E7C"/>
    <w:rsid w:val="0082026F"/>
    <w:rsid w:val="00824C23"/>
    <w:rsid w:val="00B05972"/>
    <w:rsid w:val="00CE406F"/>
    <w:rsid w:val="00E12B71"/>
    <w:rsid w:val="00E20473"/>
    <w:rsid w:val="00E525C7"/>
    <w:rsid w:val="00E573CA"/>
    <w:rsid w:val="00EF4883"/>
    <w:rsid w:val="00F40F21"/>
    <w:rsid w:val="00F466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F550"/>
  <w15:chartTrackingRefBased/>
  <w15:docId w15:val="{8DE49742-FD26-4F2F-B7FF-B26413FC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4-Accentuation2">
    <w:name w:val="Grid Table 4 Accent 2"/>
    <w:basedOn w:val="TableauNormal"/>
    <w:uiPriority w:val="49"/>
    <w:rsid w:val="00E525C7"/>
    <w:pPr>
      <w:spacing w:after="0" w:line="240" w:lineRule="auto"/>
    </w:pPr>
    <w:rPr>
      <w:rFonts w:ascii="Calibri" w:eastAsia="Calibri" w:hAnsi="Calibri" w:cs="Ari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7Couleur">
    <w:name w:val="Grid Table 7 Colorful"/>
    <w:basedOn w:val="TableauNormal"/>
    <w:uiPriority w:val="52"/>
    <w:rsid w:val="00F466B7"/>
    <w:pPr>
      <w:spacing w:after="0" w:line="240" w:lineRule="auto"/>
    </w:pPr>
    <w:rPr>
      <w:rFonts w:ascii="Calibri" w:eastAsia="Calibri" w:hAnsi="Calibri" w:cs="Arial"/>
      <w:color w:val="00000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Paragraphedeliste">
    <w:name w:val="List Paragraph"/>
    <w:basedOn w:val="Normal"/>
    <w:uiPriority w:val="34"/>
    <w:qFormat/>
    <w:rsid w:val="006B2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i.org/10.1016/j.jgr.2017.01.010"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euille_de_calcul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Feuille_de_calcul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Feuille_de_calcul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clip"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r-FR"/>
              <a:t>Do they know the plant?</a:t>
            </a:r>
          </a:p>
        </c:rich>
      </c:tx>
      <c:overlay val="0"/>
      <c:spPr>
        <a:noFill/>
        <a:ln>
          <a:noFill/>
        </a:ln>
        <a:effectLst/>
      </c:spPr>
      <c:txPr>
        <a:bodyPr rot="0" spcFirstLastPara="1" vertOverflow="clip"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16A-4E9D-B044-3BE9A7DA97B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16A-4E9D-B044-3BE9A7DA97B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Analyses!$C$3:$C$4</c:f>
              <c:strCache>
                <c:ptCount val="2"/>
                <c:pt idx="0">
                  <c:v>No </c:v>
                </c:pt>
                <c:pt idx="1">
                  <c:v>Yes </c:v>
                </c:pt>
              </c:strCache>
            </c:strRef>
          </c:cat>
          <c:val>
            <c:numRef>
              <c:f>Analyses!$D$3:$D$4</c:f>
              <c:numCache>
                <c:formatCode>###0</c:formatCode>
                <c:ptCount val="2"/>
                <c:pt idx="0">
                  <c:v>27</c:v>
                </c:pt>
                <c:pt idx="1">
                  <c:v>39</c:v>
                </c:pt>
              </c:numCache>
            </c:numRef>
          </c:val>
          <c:extLst>
            <c:ext xmlns:c16="http://schemas.microsoft.com/office/drawing/2014/chart" uri="{C3380CC4-5D6E-409C-BE32-E72D297353CC}">
              <c16:uniqueId val="{00000004-216A-4E9D-B044-3BE9A7DA97B4}"/>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clip"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r-FR"/>
              <a:t>Interest of use the plant</a:t>
            </a:r>
          </a:p>
        </c:rich>
      </c:tx>
      <c:overlay val="0"/>
      <c:spPr>
        <a:noFill/>
        <a:ln>
          <a:noFill/>
        </a:ln>
        <a:effectLst/>
      </c:spPr>
      <c:txPr>
        <a:bodyPr rot="0" spcFirstLastPara="1" vertOverflow="clip"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1DA-481A-A396-69A1400D464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1DA-481A-A396-69A1400D464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1DA-481A-A396-69A1400D464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Feuil1!$F$18:$F$20</c:f>
              <c:strCache>
                <c:ptCount val="3"/>
                <c:pt idx="0">
                  <c:v>Therapeutic Interest</c:v>
                </c:pt>
                <c:pt idx="1">
                  <c:v>Cosmetic Interest</c:v>
                </c:pt>
                <c:pt idx="2">
                  <c:v>Food Interest</c:v>
                </c:pt>
              </c:strCache>
            </c:strRef>
          </c:cat>
          <c:val>
            <c:numRef>
              <c:f>Feuil1!$G$18:$G$20</c:f>
              <c:numCache>
                <c:formatCode>General</c:formatCode>
                <c:ptCount val="3"/>
                <c:pt idx="0">
                  <c:v>32</c:v>
                </c:pt>
                <c:pt idx="1">
                  <c:v>9</c:v>
                </c:pt>
                <c:pt idx="2">
                  <c:v>7</c:v>
                </c:pt>
              </c:numCache>
            </c:numRef>
          </c:val>
          <c:extLst>
            <c:ext xmlns:c16="http://schemas.microsoft.com/office/drawing/2014/chart" uri="{C3380CC4-5D6E-409C-BE32-E72D297353CC}">
              <c16:uniqueId val="{00000006-B1DA-481A-A396-69A1400D4647}"/>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pivotSource>
    <c:name>[Analgésique 25.05.2022.xlsx]Données!Tableau croisé dynamique5</c:name>
    <c:fmtId val="-1"/>
  </c:pivotSource>
  <c:chart>
    <c:autoTitleDeleted val="1"/>
    <c:pivotFmts>
      <c:pivotFmt>
        <c:idx val="0"/>
        <c:spPr>
          <a:solidFill>
            <a:schemeClr val="accent5"/>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5"/>
          </a:solidFill>
          <a:ln>
            <a:noFill/>
          </a:ln>
          <a:effectLst/>
        </c:spPr>
        <c:dLbl>
          <c:idx val="0"/>
          <c:layout>
            <c:manualLayout>
              <c:x val="-2.5441901279824695E-17"/>
              <c:y val="-0.11120568783527256"/>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a</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pivotFmt>
      <c:pivotFmt>
        <c:idx val="3"/>
        <c:dLbl>
          <c:idx val="0"/>
          <c:layout>
            <c:manualLayout>
              <c:x val="0"/>
              <c:y val="-6.950355489704535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dLbl>
          <c:idx val="0"/>
          <c:layout>
            <c:manualLayout>
              <c:x val="0"/>
              <c:y val="-4.6335703264696902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5"/>
          </a:solidFill>
          <a:ln>
            <a:noFill/>
          </a:ln>
          <a:effectLst/>
        </c:spPr>
        <c:dLbl>
          <c:idx val="0"/>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5"/>
          </a:solidFill>
          <a:ln>
            <a:noFill/>
          </a:ln>
          <a:effectLst/>
        </c:spPr>
        <c:dLbl>
          <c:idx val="0"/>
          <c:layout>
            <c:manualLayout>
              <c:x val="-1.0194865478934462E-16"/>
              <c:y val="-6.0124998816437118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5"/>
          </a:solidFill>
          <a:ln>
            <a:noFill/>
          </a:ln>
          <a:effectLst/>
        </c:spPr>
        <c:dLbl>
          <c:idx val="0"/>
          <c:layout>
            <c:manualLayout>
              <c:x val="0"/>
              <c:y val="-4.1624999180610252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5"/>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5"/>
          </a:solidFill>
          <a:ln>
            <a:noFill/>
          </a:ln>
          <a:effectLst/>
        </c:spPr>
        <c:dLbl>
          <c:idx val="0"/>
          <c:layout>
            <c:manualLayout>
              <c:x val="-2.5441901279824695E-17"/>
              <c:y val="-0.11120568783527256"/>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a</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5"/>
          </a:solidFill>
          <a:ln>
            <a:noFill/>
          </a:ln>
          <a:effectLst/>
        </c:spPr>
        <c:dLbl>
          <c:idx val="0"/>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5"/>
          </a:solidFill>
          <a:ln>
            <a:noFill/>
          </a:ln>
          <a:effectLst/>
        </c:spPr>
        <c:dLbl>
          <c:idx val="0"/>
          <c:layout>
            <c:manualLayout>
              <c:x val="-1.0194865478934462E-16"/>
              <c:y val="-6.0124998816437118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5"/>
          </a:solidFill>
          <a:ln>
            <a:noFill/>
          </a:ln>
          <a:effectLst/>
        </c:spPr>
        <c:dLbl>
          <c:idx val="0"/>
          <c:layout>
            <c:manualLayout>
              <c:x val="0"/>
              <c:y val="-4.1624999180610252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5"/>
          </a:solidFill>
          <a:ln>
            <a:noFill/>
          </a:ln>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5"/>
          </a:solidFill>
          <a:ln>
            <a:noFill/>
          </a:ln>
          <a:effectLst/>
        </c:spPr>
        <c:dLbl>
          <c:idx val="0"/>
          <c:layout>
            <c:manualLayout>
              <c:x val="-2.5441901279824695E-17"/>
              <c:y val="-0.11120568783527256"/>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a</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5"/>
          </a:solidFill>
          <a:ln>
            <a:noFill/>
          </a:ln>
          <a:effectLst/>
        </c:spPr>
        <c:dLbl>
          <c:idx val="0"/>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5"/>
          </a:solidFill>
          <a:ln>
            <a:noFill/>
          </a:ln>
          <a:effectLst/>
        </c:spPr>
        <c:dLbl>
          <c:idx val="0"/>
          <c:layout>
            <c:manualLayout>
              <c:x val="-1.0194865478934462E-16"/>
              <c:y val="-6.0124998816437118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5"/>
          </a:solidFill>
          <a:ln>
            <a:noFill/>
          </a:ln>
          <a:effectLst/>
        </c:spPr>
        <c:dLbl>
          <c:idx val="0"/>
          <c:layout>
            <c:manualLayout>
              <c:x val="0"/>
              <c:y val="-4.1624999180610252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b</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Données!$M$3</c:f>
              <c:strCache>
                <c:ptCount val="1"/>
                <c:pt idx="0">
                  <c:v>Total</c:v>
                </c:pt>
              </c:strCache>
            </c:strRef>
          </c:tx>
          <c:spPr>
            <a:solidFill>
              <a:schemeClr val="accent5"/>
            </a:solidFill>
            <a:ln>
              <a:noFill/>
            </a:ln>
            <a:effectLst/>
          </c:spPr>
          <c:invertIfNegative val="0"/>
          <c:dPt>
            <c:idx val="0"/>
            <c:invertIfNegative val="0"/>
            <c:bubble3D val="0"/>
            <c:spPr>
              <a:solidFill>
                <a:schemeClr val="accent5"/>
              </a:solidFill>
              <a:ln>
                <a:noFill/>
              </a:ln>
              <a:effectLst/>
            </c:spPr>
            <c:extLst>
              <c:ext xmlns:c16="http://schemas.microsoft.com/office/drawing/2014/chart" uri="{C3380CC4-5D6E-409C-BE32-E72D297353CC}">
                <c16:uniqueId val="{00000001-18C9-4ADA-B737-3D34150E1923}"/>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18C9-4ADA-B737-3D34150E1923}"/>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5-18C9-4ADA-B737-3D34150E1923}"/>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7-18C9-4ADA-B737-3D34150E1923}"/>
              </c:ext>
            </c:extLst>
          </c:dPt>
          <c:dLbls>
            <c:dLbl>
              <c:idx val="0"/>
              <c:layout>
                <c:manualLayout>
                  <c:x val="-2.5441901279824695E-17"/>
                  <c:y val="-0.11120568783527256"/>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C9-4ADA-B737-3D34150E192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C9-4ADA-B737-3D34150E1923}"/>
                </c:ext>
              </c:extLst>
            </c:dLbl>
            <c:dLbl>
              <c:idx val="2"/>
              <c:layout>
                <c:manualLayout>
                  <c:x val="-1.0194865478934462E-16"/>
                  <c:y val="-6.012499881643711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C9-4ADA-B737-3D34150E1923}"/>
                </c:ext>
              </c:extLst>
            </c:dLbl>
            <c:dLbl>
              <c:idx val="3"/>
              <c:layout>
                <c:manualLayout>
                  <c:x val="0"/>
                  <c:y val="-4.1624999180610252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C9-4ADA-B737-3D34150E192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errBars>
            <c:errBarType val="plus"/>
            <c:errValType val="cust"/>
            <c:noEndCap val="0"/>
            <c:plus>
              <c:numRef>
                <c:f>Données!$M$10:$M$13</c:f>
                <c:numCache>
                  <c:formatCode>General</c:formatCode>
                  <c:ptCount val="4"/>
                  <c:pt idx="0">
                    <c:v>10.01665280087782</c:v>
                  </c:pt>
                  <c:pt idx="1">
                    <c:v>1.5275252316519405</c:v>
                  </c:pt>
                  <c:pt idx="2">
                    <c:v>6.6080758671996698</c:v>
                  </c:pt>
                  <c:pt idx="3">
                    <c:v>4.9916597106239795</c:v>
                  </c:pt>
                </c:numCache>
              </c:numRef>
            </c:plus>
            <c:minus>
              <c:numLit>
                <c:formatCode>General</c:formatCode>
                <c:ptCount val="1"/>
                <c:pt idx="0">
                  <c:v>1</c:v>
                </c:pt>
              </c:numLit>
            </c:minus>
            <c:spPr>
              <a:noFill/>
              <a:ln w="9525">
                <a:solidFill>
                  <a:schemeClr val="tx1">
                    <a:lumMod val="65000"/>
                    <a:lumOff val="35000"/>
                  </a:schemeClr>
                </a:solidFill>
                <a:round/>
              </a:ln>
              <a:effectLst/>
            </c:spPr>
          </c:errBars>
          <c:cat>
            <c:strRef>
              <c:f>Données!$M$10:$M$13</c:f>
              <c:strCache>
                <c:ptCount val="4"/>
                <c:pt idx="0">
                  <c:v>Witness</c:v>
                </c:pt>
                <c:pt idx="1">
                  <c:v>Paracetamol (100mg/kg)</c:v>
                </c:pt>
                <c:pt idx="2">
                  <c:v>White Extract (500mg/kg)</c:v>
                </c:pt>
                <c:pt idx="3">
                  <c:v>Red Extract (500mg/kg)</c:v>
                </c:pt>
              </c:strCache>
            </c:strRef>
          </c:cat>
          <c:val>
            <c:numRef>
              <c:f>Données!$M$10:$M$13</c:f>
              <c:numCache>
                <c:formatCode>0.0</c:formatCode>
                <c:ptCount val="4"/>
                <c:pt idx="0">
                  <c:v>46.666666666666664</c:v>
                </c:pt>
                <c:pt idx="1">
                  <c:v>18.333333333333332</c:v>
                </c:pt>
                <c:pt idx="2">
                  <c:v>15.5</c:v>
                </c:pt>
                <c:pt idx="3">
                  <c:v>12.25</c:v>
                </c:pt>
              </c:numCache>
            </c:numRef>
          </c:val>
          <c:extLst>
            <c:ext xmlns:c16="http://schemas.microsoft.com/office/drawing/2014/chart" uri="{C3380CC4-5D6E-409C-BE32-E72D297353CC}">
              <c16:uniqueId val="{00000008-18C9-4ADA-B737-3D34150E1923}"/>
            </c:ext>
          </c:extLst>
        </c:ser>
        <c:dLbls>
          <c:dLblPos val="outEnd"/>
          <c:showLegendKey val="0"/>
          <c:showVal val="1"/>
          <c:showCatName val="0"/>
          <c:showSerName val="0"/>
          <c:showPercent val="0"/>
          <c:showBubbleSize val="0"/>
        </c:dLbls>
        <c:gapWidth val="219"/>
        <c:overlap val="-27"/>
        <c:axId val="2038933679"/>
        <c:axId val="2038950735"/>
      </c:barChart>
      <c:catAx>
        <c:axId val="2038933679"/>
        <c:scaling>
          <c:orientation val="minMax"/>
        </c:scaling>
        <c:delete val="0"/>
        <c:axPos val="b"/>
        <c:title>
          <c:tx>
            <c:rich>
              <a:bodyPr rot="0" spcFirstLastPara="1" vertOverflow="clip" vert="horz" wrap="square" anchor="ctr" anchorCtr="1"/>
              <a:lstStyle/>
              <a:p>
                <a:pPr>
                  <a:defRPr sz="1000" b="0" i="0" u="none" strike="noStrike" kern="1200" baseline="0">
                    <a:solidFill>
                      <a:sysClr val="windowText" lastClr="000000"/>
                    </a:solidFill>
                    <a:latin typeface="+mn-lt"/>
                    <a:ea typeface="+mn-ea"/>
                    <a:cs typeface="+mn-cs"/>
                  </a:defRPr>
                </a:pPr>
                <a:r>
                  <a:rPr lang="fr-FR" b="1">
                    <a:latin typeface="Times New Roman" panose="02020603050405020304" pitchFamily="18" charset="0"/>
                    <a:cs typeface="Times New Roman" panose="02020603050405020304" pitchFamily="18" charset="0"/>
                  </a:rPr>
                  <a:t>Groups</a:t>
                </a:r>
              </a:p>
            </c:rich>
          </c:tx>
          <c:overlay val="0"/>
          <c:spPr>
            <a:noFill/>
            <a:ln>
              <a:noFill/>
            </a:ln>
            <a:effectLst/>
          </c:spPr>
          <c:txPr>
            <a:bodyPr rot="0" spcFirstLastPara="1" vertOverflow="clip" vert="horz" wrap="square" anchor="ctr" anchorCtr="1"/>
            <a:lstStyle/>
            <a:p>
              <a:pPr>
                <a:defRPr sz="1000" b="0" i="0" u="none" strike="noStrike" kern="1200" baseline="0">
                  <a:solidFill>
                    <a:sysClr val="windowText" lastClr="000000"/>
                  </a:solidFill>
                  <a:latin typeface="+mn-lt"/>
                  <a:ea typeface="+mn-ea"/>
                  <a:cs typeface="+mn-cs"/>
                </a:defRPr>
              </a:pPr>
              <a:endParaRPr lang="fr-FR"/>
            </a:p>
          </c:txPr>
        </c:title>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2038950735"/>
        <c:crosses val="autoZero"/>
        <c:auto val="1"/>
        <c:lblAlgn val="ctr"/>
        <c:lblOffset val="100"/>
        <c:noMultiLvlLbl val="0"/>
      </c:catAx>
      <c:valAx>
        <c:axId val="2038950735"/>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clip" vert="horz" wrap="square" anchor="ctr" anchorCtr="1"/>
              <a:lstStyle/>
              <a:p>
                <a:pPr>
                  <a:defRPr sz="1000" b="0" i="0" u="none" strike="noStrike" kern="1200" baseline="0">
                    <a:solidFill>
                      <a:sysClr val="windowText" lastClr="000000"/>
                    </a:solidFill>
                    <a:latin typeface="+mn-lt"/>
                    <a:ea typeface="+mn-ea"/>
                    <a:cs typeface="+mn-cs"/>
                  </a:defRPr>
                </a:pPr>
                <a:r>
                  <a:rPr lang="fr-FR" sz="1000" b="1">
                    <a:latin typeface="Times New Roman" panose="02020603050405020304" pitchFamily="18" charset="0"/>
                    <a:cs typeface="Times New Roman" panose="02020603050405020304" pitchFamily="18" charset="0"/>
                  </a:rPr>
                  <a:t>Average</a:t>
                </a:r>
                <a:r>
                  <a:rPr lang="fr-FR" sz="1000" b="1" baseline="0">
                    <a:latin typeface="Times New Roman" panose="02020603050405020304" pitchFamily="18" charset="0"/>
                    <a:cs typeface="Times New Roman" panose="02020603050405020304" pitchFamily="18" charset="0"/>
                  </a:rPr>
                  <a:t> abdominal contractions for 10 minutes</a:t>
                </a:r>
                <a:endParaRPr lang="fr-FR" sz="10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clip" vert="horz" wrap="square" anchor="ctr" anchorCtr="1"/>
            <a:lstStyle/>
            <a:p>
              <a:pPr>
                <a:defRPr sz="1000" b="0" i="0" u="none" strike="noStrike" kern="1200" baseline="0">
                  <a:solidFill>
                    <a:sysClr val="windowText" lastClr="000000"/>
                  </a:solidFill>
                  <a:latin typeface="+mn-lt"/>
                  <a:ea typeface="+mn-ea"/>
                  <a:cs typeface="+mn-cs"/>
                </a:defRPr>
              </a:pPr>
              <a:endParaRPr lang="fr-FR"/>
            </a:p>
          </c:txPr>
        </c:title>
        <c:numFmt formatCode="0.0" sourceLinked="1"/>
        <c:majorTickMark val="out"/>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203893367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solidFill>
            <a:sysClr val="windowText" lastClr="000000"/>
          </a:solidFill>
        </a:defRPr>
      </a:pPr>
      <a:endParaRPr lang="fr-FR"/>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C1192E361E461BA8C36C4AE7F0FB46"/>
        <w:category>
          <w:name w:val="Général"/>
          <w:gallery w:val="placeholder"/>
        </w:category>
        <w:types>
          <w:type w:val="bbPlcHdr"/>
        </w:types>
        <w:behaviors>
          <w:behavior w:val="content"/>
        </w:behaviors>
        <w:guid w:val="{2DC6CB34-1049-4605-9581-C378BB4FF111}"/>
      </w:docPartPr>
      <w:docPartBody>
        <w:p w:rsidR="00000000" w:rsidRDefault="00F600B4" w:rsidP="00F600B4">
          <w:pPr>
            <w:pStyle w:val="2BC1192E361E461BA8C36C4AE7F0FB46"/>
          </w:pPr>
          <w:r>
            <w:rPr>
              <w:rStyle w:val="Textedelespacerserv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B4"/>
    <w:rsid w:val="004A5A0B"/>
    <w:rsid w:val="00F60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1">
    <w:name w:val="Texte de l'espace réservé1"/>
    <w:basedOn w:val="Policepardfaut"/>
    <w:uiPriority w:val="99"/>
    <w:semiHidden/>
    <w:rsid w:val="00F600B4"/>
    <w:rPr>
      <w:color w:val="808080"/>
    </w:rPr>
  </w:style>
  <w:style w:type="paragraph" w:customStyle="1" w:styleId="2BC1192E361E461BA8C36C4AE7F0FB46">
    <w:name w:val="2BC1192E361E461BA8C36C4AE7F0FB46"/>
    <w:rsid w:val="00F60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ersonnalisé 5">
    <a:dk1>
      <a:sysClr val="windowText" lastClr="000000"/>
    </a:dk1>
    <a:lt1>
      <a:sysClr val="window" lastClr="FFFFFF"/>
    </a:lt1>
    <a:dk2>
      <a:srgbClr val="1E5155"/>
    </a:dk2>
    <a:lt2>
      <a:srgbClr val="EBEBEB"/>
    </a:lt2>
    <a:accent1>
      <a:srgbClr val="630C0C"/>
    </a:accent1>
    <a:accent2>
      <a:srgbClr val="235F64"/>
    </a:accent2>
    <a:accent3>
      <a:srgbClr val="F8C6C6"/>
    </a:accent3>
    <a:accent4>
      <a:srgbClr val="6AAC90"/>
    </a:accent4>
    <a:accent5>
      <a:srgbClr val="54849A"/>
    </a:accent5>
    <a:accent6>
      <a:srgbClr val="000000"/>
    </a:accent6>
    <a:hlink>
      <a:srgbClr val="630C0C"/>
    </a:hlink>
    <a:folHlink>
      <a:srgbClr val="9DF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ersonnalisé 6">
    <a:dk1>
      <a:sysClr val="windowText" lastClr="000000"/>
    </a:dk1>
    <a:lt1>
      <a:sysClr val="window" lastClr="FFFFFF"/>
    </a:lt1>
    <a:dk2>
      <a:srgbClr val="1E5155"/>
    </a:dk2>
    <a:lt2>
      <a:srgbClr val="EBEBEB"/>
    </a:lt2>
    <a:accent1>
      <a:srgbClr val="630C0C"/>
    </a:accent1>
    <a:accent2>
      <a:srgbClr val="235F64"/>
    </a:accent2>
    <a:accent3>
      <a:srgbClr val="F8C6C6"/>
    </a:accent3>
    <a:accent4>
      <a:srgbClr val="6AAC90"/>
    </a:accent4>
    <a:accent5>
      <a:srgbClr val="000000"/>
    </a:accent5>
    <a:accent6>
      <a:srgbClr val="54849A"/>
    </a:accent6>
    <a:hlink>
      <a:srgbClr val="630C0C"/>
    </a:hlink>
    <a:folHlink>
      <a:srgbClr val="9DFFCB"/>
    </a:folHlink>
  </a:clrScheme>
  <a:fontScheme name="Cadr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Override>
</file>

<file path=word/theme/themeOverride3.xml><?xml version="1.0" encoding="utf-8"?>
<a:themeOverride xmlns:a="http://schemas.openxmlformats.org/drawingml/2006/main">
  <a:clrScheme name="Personnalisé 4">
    <a:dk1>
      <a:sysClr val="windowText" lastClr="000000"/>
    </a:dk1>
    <a:lt1>
      <a:sysClr val="window" lastClr="FFFFFF"/>
    </a:lt1>
    <a:dk2>
      <a:srgbClr val="1E5155"/>
    </a:dk2>
    <a:lt2>
      <a:srgbClr val="EBEBEB"/>
    </a:lt2>
    <a:accent1>
      <a:srgbClr val="630C0C"/>
    </a:accent1>
    <a:accent2>
      <a:srgbClr val="4FB8C1"/>
    </a:accent2>
    <a:accent3>
      <a:srgbClr val="F8C6C6"/>
    </a:accent3>
    <a:accent4>
      <a:srgbClr val="6AAC90"/>
    </a:accent4>
    <a:accent5>
      <a:srgbClr val="54849A"/>
    </a:accent5>
    <a:accent6>
      <a:srgbClr val="000000"/>
    </a:accent6>
    <a:hlink>
      <a:srgbClr val="58C1BA"/>
    </a:hlink>
    <a:folHlink>
      <a:srgbClr val="9DFF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69</TotalTime>
  <Pages>10</Pages>
  <Words>3315</Words>
  <Characters>18237</Characters>
  <Application>Microsoft Office Word</Application>
  <DocSecurity>0</DocSecurity>
  <Lines>151</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2022-06-29T17:09:00Z</dcterms:created>
  <dcterms:modified xsi:type="dcterms:W3CDTF">2022-06-29T18:58:00Z</dcterms:modified>
</cp:coreProperties>
</file>